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361178" w14:textId="2EF42235" w:rsidR="00A827DE" w:rsidRPr="007262BA" w:rsidRDefault="00A827DE" w:rsidP="007262BA">
      <w:pPr>
        <w:spacing w:line="360" w:lineRule="auto"/>
        <w:rPr>
          <w:rFonts w:ascii="Arial" w:hAnsi="Arial" w:cs="Arial"/>
          <w:b/>
          <w:bCs/>
          <w:i/>
          <w:iCs/>
        </w:rPr>
      </w:pPr>
      <w:bookmarkStart w:id="0" w:name="OLE_LINK3"/>
      <w:r w:rsidRPr="007262BA">
        <w:rPr>
          <w:rFonts w:ascii="Arial" w:hAnsi="Arial" w:cs="Arial"/>
          <w:b/>
          <w:bCs/>
          <w:i/>
          <w:iCs/>
        </w:rPr>
        <w:t xml:space="preserve">Submission details: </w:t>
      </w:r>
      <w:r w:rsidRPr="007262BA">
        <w:rPr>
          <w:rFonts w:ascii="Arial" w:hAnsi="Arial" w:cs="Arial"/>
        </w:rPr>
        <w:t>Daniele Cotton. Year 5. Imperial College London</w:t>
      </w:r>
    </w:p>
    <w:p w14:paraId="69B8BBF6" w14:textId="77777777" w:rsidR="00A827DE" w:rsidRPr="007262BA" w:rsidRDefault="00A827DE" w:rsidP="007262BA">
      <w:pPr>
        <w:spacing w:line="360" w:lineRule="auto"/>
        <w:rPr>
          <w:rFonts w:ascii="Arial" w:hAnsi="Arial" w:cs="Arial"/>
          <w:b/>
          <w:bCs/>
          <w:i/>
          <w:iCs/>
        </w:rPr>
      </w:pPr>
    </w:p>
    <w:p w14:paraId="2CE6FC69" w14:textId="6B48FA57" w:rsidR="00C35B35" w:rsidRPr="007262BA" w:rsidRDefault="00C35B35" w:rsidP="007262BA">
      <w:pPr>
        <w:spacing w:line="360" w:lineRule="auto"/>
        <w:rPr>
          <w:rFonts w:ascii="Arial" w:hAnsi="Arial" w:cs="Arial"/>
          <w:b/>
          <w:bCs/>
          <w:i/>
          <w:iCs/>
        </w:rPr>
      </w:pPr>
      <w:r w:rsidRPr="007262BA">
        <w:rPr>
          <w:rFonts w:ascii="Arial" w:hAnsi="Arial" w:cs="Arial"/>
          <w:b/>
          <w:bCs/>
          <w:i/>
          <w:iCs/>
        </w:rPr>
        <w:t xml:space="preserve">Data, Consent, and the Public Good: Governance Challenges in Neuroradiological Research Engagement </w:t>
      </w:r>
    </w:p>
    <w:bookmarkEnd w:id="0"/>
    <w:p w14:paraId="7DE706CB" w14:textId="77777777" w:rsidR="00A03A6D" w:rsidRPr="007262BA" w:rsidRDefault="00A03A6D" w:rsidP="007262BA">
      <w:pPr>
        <w:spacing w:line="360" w:lineRule="auto"/>
        <w:rPr>
          <w:rFonts w:ascii="Arial" w:hAnsi="Arial" w:cs="Arial"/>
        </w:rPr>
      </w:pPr>
    </w:p>
    <w:p w14:paraId="79E9856F" w14:textId="52FA1678" w:rsidR="007A147A" w:rsidRPr="007262BA" w:rsidRDefault="00A03A6D" w:rsidP="007262BA">
      <w:pPr>
        <w:spacing w:line="360" w:lineRule="auto"/>
        <w:rPr>
          <w:rFonts w:ascii="Arial" w:hAnsi="Arial" w:cs="Arial"/>
        </w:rPr>
      </w:pPr>
      <w:r w:rsidRPr="007262BA">
        <w:rPr>
          <w:rFonts w:ascii="Arial" w:hAnsi="Arial" w:cs="Arial"/>
        </w:rPr>
        <w:t>A</w:t>
      </w:r>
      <w:r w:rsidR="006C435D" w:rsidRPr="007262BA">
        <w:rPr>
          <w:rFonts w:ascii="Arial" w:hAnsi="Arial" w:cs="Arial"/>
        </w:rPr>
        <w:t xml:space="preserve"> structural</w:t>
      </w:r>
      <w:r w:rsidRPr="007262BA">
        <w:rPr>
          <w:rFonts w:ascii="Arial" w:hAnsi="Arial" w:cs="Arial"/>
        </w:rPr>
        <w:t xml:space="preserve"> brain scan is quite unlike any other </w:t>
      </w:r>
      <w:r w:rsidR="00C35B35" w:rsidRPr="007262BA">
        <w:rPr>
          <w:rFonts w:ascii="Arial" w:hAnsi="Arial" w:cs="Arial"/>
        </w:rPr>
        <w:t>image</w:t>
      </w:r>
      <w:r w:rsidR="00205C69" w:rsidRPr="007262BA">
        <w:rPr>
          <w:rFonts w:ascii="Arial" w:hAnsi="Arial" w:cs="Arial"/>
        </w:rPr>
        <w:t xml:space="preserve"> in radiology</w:t>
      </w:r>
      <w:r w:rsidRPr="007262BA">
        <w:rPr>
          <w:rFonts w:ascii="Arial" w:hAnsi="Arial" w:cs="Arial"/>
        </w:rPr>
        <w:t xml:space="preserve">. </w:t>
      </w:r>
      <w:r w:rsidR="00C35B35" w:rsidRPr="007262BA">
        <w:rPr>
          <w:rFonts w:ascii="Arial" w:hAnsi="Arial" w:cs="Arial"/>
        </w:rPr>
        <w:t>A</w:t>
      </w:r>
      <w:r w:rsidR="006C435D" w:rsidRPr="007262BA">
        <w:rPr>
          <w:rFonts w:ascii="Arial" w:hAnsi="Arial" w:cs="Arial"/>
        </w:rPr>
        <w:t xml:space="preserve">n </w:t>
      </w:r>
      <w:r w:rsidR="00C35B35" w:rsidRPr="007262BA">
        <w:rPr>
          <w:rFonts w:ascii="Arial" w:hAnsi="Arial" w:cs="Arial"/>
        </w:rPr>
        <w:t xml:space="preserve">MRI </w:t>
      </w:r>
      <w:r w:rsidR="00205C69" w:rsidRPr="007262BA">
        <w:rPr>
          <w:rFonts w:ascii="Arial" w:hAnsi="Arial" w:cs="Arial"/>
        </w:rPr>
        <w:t xml:space="preserve">or CT may preserve facial geometry such that it can be matched to a photograph; its metadata can precisely pinpoint the time and location of the exam; and its report may disclose </w:t>
      </w:r>
      <w:r w:rsidR="007A147A" w:rsidRPr="007262BA">
        <w:rPr>
          <w:rFonts w:ascii="Arial" w:hAnsi="Arial" w:cs="Arial"/>
        </w:rPr>
        <w:t xml:space="preserve">sensitive </w:t>
      </w:r>
      <w:r w:rsidR="00205C69" w:rsidRPr="007262BA">
        <w:rPr>
          <w:rFonts w:ascii="Arial" w:hAnsi="Arial" w:cs="Arial"/>
        </w:rPr>
        <w:t>private diagnoses such as dementia, stroke or tumours (</w:t>
      </w:r>
      <w:r w:rsidR="007A147A" w:rsidRPr="007262BA">
        <w:rPr>
          <w:rFonts w:ascii="Arial" w:hAnsi="Arial" w:cs="Arial"/>
        </w:rPr>
        <w:t>Schwarz et al., 2019; Sant and Bajada, 2025). Yet, aggregated with thousands of others, the same scan can unveil novel biomarkers, train algorithms that improve diagnos</w:t>
      </w:r>
      <w:r w:rsidR="00575157">
        <w:rPr>
          <w:rFonts w:ascii="Arial" w:hAnsi="Arial" w:cs="Arial"/>
        </w:rPr>
        <w:t>is</w:t>
      </w:r>
      <w:r w:rsidR="007A147A" w:rsidRPr="007262BA">
        <w:rPr>
          <w:rFonts w:ascii="Arial" w:hAnsi="Arial" w:cs="Arial"/>
        </w:rPr>
        <w:t xml:space="preserve"> and </w:t>
      </w:r>
      <w:r w:rsidR="0081792F">
        <w:rPr>
          <w:rFonts w:ascii="Arial" w:hAnsi="Arial" w:cs="Arial"/>
        </w:rPr>
        <w:t>prognostication</w:t>
      </w:r>
      <w:r w:rsidR="007A147A" w:rsidRPr="007262BA">
        <w:rPr>
          <w:rFonts w:ascii="Arial" w:hAnsi="Arial" w:cs="Arial"/>
        </w:rPr>
        <w:t xml:space="preserve">, and answer unforeseen biomedical questions. Neuroradiological research therefore sits at the intersection of two very real harms: sharing data so freely that individuals are exposed and sharing so little that we delay improved care. </w:t>
      </w:r>
    </w:p>
    <w:p w14:paraId="1405D65D" w14:textId="77777777" w:rsidR="006C435D" w:rsidRPr="007262BA" w:rsidRDefault="006C435D" w:rsidP="007262BA">
      <w:pPr>
        <w:spacing w:line="360" w:lineRule="auto"/>
        <w:rPr>
          <w:rFonts w:ascii="Arial" w:hAnsi="Arial" w:cs="Arial"/>
        </w:rPr>
      </w:pPr>
    </w:p>
    <w:p w14:paraId="7A5B21F2" w14:textId="754F68CF" w:rsidR="00C22C5E" w:rsidRPr="007262BA" w:rsidRDefault="007A147A" w:rsidP="007262BA">
      <w:pPr>
        <w:spacing w:line="360" w:lineRule="auto"/>
        <w:rPr>
          <w:rFonts w:ascii="Arial" w:hAnsi="Arial" w:cs="Arial"/>
        </w:rPr>
      </w:pPr>
      <w:r w:rsidRPr="007262BA">
        <w:rPr>
          <w:rFonts w:ascii="Arial" w:hAnsi="Arial" w:cs="Arial"/>
        </w:rPr>
        <w:t xml:space="preserve">The </w:t>
      </w:r>
      <w:r w:rsidR="006C435D" w:rsidRPr="007262BA">
        <w:rPr>
          <w:rFonts w:ascii="Arial" w:hAnsi="Arial" w:cs="Arial"/>
        </w:rPr>
        <w:t xml:space="preserve">classical answer to this dilemma is </w:t>
      </w:r>
      <w:r w:rsidR="00C22C5E" w:rsidRPr="007262BA">
        <w:rPr>
          <w:rFonts w:ascii="Arial" w:hAnsi="Arial" w:cs="Arial"/>
        </w:rPr>
        <w:t xml:space="preserve">somewhat </w:t>
      </w:r>
      <w:r w:rsidR="006C435D" w:rsidRPr="007262BA">
        <w:rPr>
          <w:rFonts w:ascii="Arial" w:hAnsi="Arial" w:cs="Arial"/>
        </w:rPr>
        <w:t>reductive: consent.</w:t>
      </w:r>
      <w:r w:rsidR="00C22C5E" w:rsidRPr="007262BA">
        <w:rPr>
          <w:rFonts w:ascii="Arial" w:hAnsi="Arial" w:cs="Arial"/>
        </w:rPr>
        <w:t xml:space="preserve"> </w:t>
      </w:r>
      <w:r w:rsidR="006C435D" w:rsidRPr="007262BA">
        <w:rPr>
          <w:rFonts w:ascii="Arial" w:hAnsi="Arial" w:cs="Arial"/>
        </w:rPr>
        <w:t xml:space="preserve">But can a one-off signature meaningfully govern decades of unforeseen reuse and technological change? I argue that it cannot. Instead, the better </w:t>
      </w:r>
      <w:r w:rsidR="00C22C5E" w:rsidRPr="007262BA">
        <w:rPr>
          <w:rFonts w:ascii="Arial" w:hAnsi="Arial" w:cs="Arial"/>
        </w:rPr>
        <w:t xml:space="preserve">guiding </w:t>
      </w:r>
      <w:r w:rsidR="006C435D" w:rsidRPr="007262BA">
        <w:rPr>
          <w:rFonts w:ascii="Arial" w:hAnsi="Arial" w:cs="Arial"/>
        </w:rPr>
        <w:t>principle</w:t>
      </w:r>
      <w:r w:rsidR="00C22C5E" w:rsidRPr="007262BA">
        <w:rPr>
          <w:rFonts w:ascii="Arial" w:hAnsi="Arial" w:cs="Arial"/>
        </w:rPr>
        <w:t xml:space="preserve"> </w:t>
      </w:r>
      <w:r w:rsidR="00401FFB" w:rsidRPr="007262BA">
        <w:rPr>
          <w:rFonts w:ascii="Arial" w:hAnsi="Arial" w:cs="Arial"/>
        </w:rPr>
        <w:t xml:space="preserve">when balancing these competing interests </w:t>
      </w:r>
      <w:r w:rsidR="00C22C5E" w:rsidRPr="007262BA">
        <w:rPr>
          <w:rFonts w:ascii="Arial" w:hAnsi="Arial" w:cs="Arial"/>
        </w:rPr>
        <w:t xml:space="preserve">is earned trust. In this essay, I propose that earned trust may be achieved through </w:t>
      </w:r>
      <w:r w:rsidR="00401FFB" w:rsidRPr="007262BA">
        <w:rPr>
          <w:rFonts w:ascii="Arial" w:hAnsi="Arial" w:cs="Arial"/>
        </w:rPr>
        <w:t xml:space="preserve">three </w:t>
      </w:r>
      <w:r w:rsidR="00C22C5E" w:rsidRPr="007262BA">
        <w:rPr>
          <w:rFonts w:ascii="Arial" w:hAnsi="Arial" w:cs="Arial"/>
        </w:rPr>
        <w:t xml:space="preserve">facets: providing meaningful dynamic choice where possible, proportionate safeguards where it is not, and patient and public involvement deeply and continually embedded in deciding what ‘public good’ means. </w:t>
      </w:r>
    </w:p>
    <w:p w14:paraId="0740BD67" w14:textId="77777777" w:rsidR="00C22C5E" w:rsidRPr="007262BA" w:rsidRDefault="00C22C5E" w:rsidP="007262BA">
      <w:pPr>
        <w:spacing w:line="360" w:lineRule="auto"/>
        <w:rPr>
          <w:rFonts w:ascii="Arial" w:hAnsi="Arial" w:cs="Arial"/>
        </w:rPr>
      </w:pPr>
    </w:p>
    <w:p w14:paraId="3A93DE86" w14:textId="5FF1B803" w:rsidR="006C435D" w:rsidRPr="007262BA" w:rsidRDefault="00A14A88" w:rsidP="007262BA">
      <w:pPr>
        <w:spacing w:line="360" w:lineRule="auto"/>
        <w:rPr>
          <w:rFonts w:ascii="Arial" w:hAnsi="Arial" w:cs="Arial"/>
          <w:b/>
          <w:bCs/>
          <w:i/>
          <w:iCs/>
        </w:rPr>
      </w:pPr>
      <w:r w:rsidRPr="007262BA">
        <w:rPr>
          <w:rFonts w:ascii="Arial" w:hAnsi="Arial" w:cs="Arial"/>
          <w:b/>
          <w:bCs/>
          <w:i/>
          <w:iCs/>
        </w:rPr>
        <w:t xml:space="preserve">The problem in the data – brain scans resist anonymisation </w:t>
      </w:r>
    </w:p>
    <w:p w14:paraId="26AEFFEE" w14:textId="77777777" w:rsidR="006C435D" w:rsidRPr="007262BA" w:rsidRDefault="006C435D" w:rsidP="007262BA">
      <w:pPr>
        <w:spacing w:line="360" w:lineRule="auto"/>
        <w:rPr>
          <w:rFonts w:ascii="Arial" w:hAnsi="Arial" w:cs="Arial"/>
        </w:rPr>
      </w:pPr>
    </w:p>
    <w:p w14:paraId="19FBEC8A" w14:textId="0AC6E643" w:rsidR="006F6131" w:rsidRPr="007262BA" w:rsidRDefault="00A14A88" w:rsidP="007262BA">
      <w:pPr>
        <w:spacing w:line="360" w:lineRule="auto"/>
        <w:rPr>
          <w:rFonts w:ascii="Arial" w:hAnsi="Arial" w:cs="Arial"/>
        </w:rPr>
      </w:pPr>
      <w:r w:rsidRPr="007262BA">
        <w:rPr>
          <w:rFonts w:ascii="Arial" w:hAnsi="Arial" w:cs="Arial"/>
        </w:rPr>
        <w:t>Neuroradiological data are much more than the pixels in an image. They necessarily include metadata, imaging reports, and linked clinical descriptors.</w:t>
      </w:r>
      <w:r w:rsidR="006F6131" w:rsidRPr="007262BA">
        <w:rPr>
          <w:rFonts w:ascii="Arial" w:hAnsi="Arial" w:cs="Arial"/>
        </w:rPr>
        <w:t xml:space="preserve"> However, there is an important distinction: </w:t>
      </w:r>
      <w:r w:rsidR="00575157">
        <w:rPr>
          <w:rFonts w:ascii="Arial" w:hAnsi="Arial" w:cs="Arial"/>
        </w:rPr>
        <w:t>r</w:t>
      </w:r>
      <w:r w:rsidR="006F6131" w:rsidRPr="007262BA">
        <w:rPr>
          <w:rFonts w:ascii="Arial" w:hAnsi="Arial" w:cs="Arial"/>
        </w:rPr>
        <w:t xml:space="preserve">emoving direct patient identifiers, such as names, NHS numbers, and contact information, produces pseudonymised data, not anonymised data. </w:t>
      </w:r>
    </w:p>
    <w:p w14:paraId="659E19B8" w14:textId="77777777" w:rsidR="006F6131" w:rsidRPr="007262BA" w:rsidRDefault="006F6131" w:rsidP="007262BA">
      <w:pPr>
        <w:spacing w:line="360" w:lineRule="auto"/>
        <w:rPr>
          <w:rFonts w:ascii="Arial" w:hAnsi="Arial" w:cs="Arial"/>
        </w:rPr>
      </w:pPr>
    </w:p>
    <w:p w14:paraId="6A05448E" w14:textId="546227F2" w:rsidR="00A14A88" w:rsidRPr="007262BA" w:rsidRDefault="00A14A88" w:rsidP="007262BA">
      <w:pPr>
        <w:spacing w:line="360" w:lineRule="auto"/>
        <w:rPr>
          <w:rFonts w:ascii="Arial" w:hAnsi="Arial" w:cs="Arial"/>
        </w:rPr>
      </w:pPr>
      <w:r w:rsidRPr="007262BA">
        <w:rPr>
          <w:rFonts w:ascii="Arial" w:hAnsi="Arial" w:cs="Arial"/>
        </w:rPr>
        <w:t xml:space="preserve">In an illuminating 2019 study, Schwarz et al. demonstrated that 3D </w:t>
      </w:r>
      <w:r w:rsidR="006F6131" w:rsidRPr="007262BA">
        <w:rPr>
          <w:rFonts w:ascii="Arial" w:hAnsi="Arial" w:cs="Arial"/>
        </w:rPr>
        <w:t>facial renderings</w:t>
      </w:r>
      <w:r w:rsidRPr="007262BA">
        <w:rPr>
          <w:rFonts w:ascii="Arial" w:hAnsi="Arial" w:cs="Arial"/>
        </w:rPr>
        <w:t xml:space="preserve"> reconstructed from cranial MRI data could be matched to photographs </w:t>
      </w:r>
      <w:r w:rsidR="006F6131" w:rsidRPr="007262BA">
        <w:rPr>
          <w:rFonts w:ascii="Arial" w:hAnsi="Arial" w:cs="Arial"/>
        </w:rPr>
        <w:t xml:space="preserve">by facial </w:t>
      </w:r>
      <w:r w:rsidR="006F6131" w:rsidRPr="007262BA">
        <w:rPr>
          <w:rFonts w:ascii="Arial" w:hAnsi="Arial" w:cs="Arial"/>
        </w:rPr>
        <w:lastRenderedPageBreak/>
        <w:t xml:space="preserve">recognition software with 83% success. The commonplace </w:t>
      </w:r>
      <w:r w:rsidR="00DA56D1" w:rsidRPr="007262BA">
        <w:rPr>
          <w:rFonts w:ascii="Arial" w:hAnsi="Arial" w:cs="Arial"/>
        </w:rPr>
        <w:t xml:space="preserve">privacy-preserving </w:t>
      </w:r>
      <w:r w:rsidR="006F6131" w:rsidRPr="007262BA">
        <w:rPr>
          <w:rFonts w:ascii="Arial" w:hAnsi="Arial" w:cs="Arial"/>
        </w:rPr>
        <w:t xml:space="preserve">practices of </w:t>
      </w:r>
      <w:r w:rsidR="00DA56D1" w:rsidRPr="007262BA">
        <w:rPr>
          <w:rFonts w:ascii="Arial" w:hAnsi="Arial" w:cs="Arial"/>
        </w:rPr>
        <w:t>‘</w:t>
      </w:r>
      <w:r w:rsidR="006F6131" w:rsidRPr="007262BA">
        <w:rPr>
          <w:rFonts w:ascii="Arial" w:hAnsi="Arial" w:cs="Arial"/>
        </w:rPr>
        <w:t>defacing</w:t>
      </w:r>
      <w:r w:rsidR="00DA56D1" w:rsidRPr="007262BA">
        <w:rPr>
          <w:rFonts w:ascii="Arial" w:hAnsi="Arial" w:cs="Arial"/>
        </w:rPr>
        <w:t>’, ‘</w:t>
      </w:r>
      <w:r w:rsidR="006F6131" w:rsidRPr="007262BA">
        <w:rPr>
          <w:rFonts w:ascii="Arial" w:hAnsi="Arial" w:cs="Arial"/>
        </w:rPr>
        <w:t>skull-stripping</w:t>
      </w:r>
      <w:r w:rsidR="00DA56D1" w:rsidRPr="007262BA">
        <w:rPr>
          <w:rFonts w:ascii="Arial" w:hAnsi="Arial" w:cs="Arial"/>
        </w:rPr>
        <w:t>’</w:t>
      </w:r>
      <w:r w:rsidR="006F6131" w:rsidRPr="007262BA">
        <w:rPr>
          <w:rFonts w:ascii="Arial" w:hAnsi="Arial" w:cs="Arial"/>
        </w:rPr>
        <w:t xml:space="preserve"> </w:t>
      </w:r>
      <w:r w:rsidR="00DA56D1" w:rsidRPr="007262BA">
        <w:rPr>
          <w:rFonts w:ascii="Arial" w:hAnsi="Arial" w:cs="Arial"/>
        </w:rPr>
        <w:t xml:space="preserve">and ‘face masking’ </w:t>
      </w:r>
      <w:r w:rsidR="006F6131" w:rsidRPr="007262BA">
        <w:rPr>
          <w:rFonts w:ascii="Arial" w:hAnsi="Arial" w:cs="Arial"/>
        </w:rPr>
        <w:t>images reduce this risk but are not infallible and may</w:t>
      </w:r>
      <w:r w:rsidR="00DA56D1" w:rsidRPr="007262BA">
        <w:rPr>
          <w:rFonts w:ascii="Arial" w:hAnsi="Arial" w:cs="Arial"/>
        </w:rPr>
        <w:t xml:space="preserve"> reduce utility by</w:t>
      </w:r>
      <w:r w:rsidR="006F6131" w:rsidRPr="007262BA">
        <w:rPr>
          <w:rFonts w:ascii="Arial" w:hAnsi="Arial" w:cs="Arial"/>
        </w:rPr>
        <w:t xml:space="preserve"> remov</w:t>
      </w:r>
      <w:r w:rsidR="00DA56D1" w:rsidRPr="007262BA">
        <w:rPr>
          <w:rFonts w:ascii="Arial" w:hAnsi="Arial" w:cs="Arial"/>
        </w:rPr>
        <w:t>ing</w:t>
      </w:r>
      <w:r w:rsidR="006F6131" w:rsidRPr="007262BA">
        <w:rPr>
          <w:rFonts w:ascii="Arial" w:hAnsi="Arial" w:cs="Arial"/>
        </w:rPr>
        <w:t xml:space="preserve"> information necessary for analysis (Eke et al., 2021). </w:t>
      </w:r>
      <w:r w:rsidR="00DA24A3" w:rsidRPr="007262BA">
        <w:rPr>
          <w:rFonts w:ascii="Arial" w:hAnsi="Arial" w:cs="Arial"/>
        </w:rPr>
        <w:t xml:space="preserve">Moreover, identifiability is contextual: harmless-looking variables can become identifying when linked with other datasets. </w:t>
      </w:r>
      <w:r w:rsidR="00AB43C3" w:rsidRPr="007262BA">
        <w:rPr>
          <w:rFonts w:ascii="Arial" w:hAnsi="Arial" w:cs="Arial"/>
        </w:rPr>
        <w:t>Indeed, in a US-based study, Rocher et al. (2019) demonstrated that 15 demographic attributes would permit the correct re-identification of 99.98</w:t>
      </w:r>
      <w:r w:rsidR="00DE6909" w:rsidRPr="007262BA">
        <w:rPr>
          <w:rFonts w:ascii="Arial" w:hAnsi="Arial" w:cs="Arial"/>
        </w:rPr>
        <w:t>%</w:t>
      </w:r>
      <w:r w:rsidR="00AB43C3" w:rsidRPr="007262BA">
        <w:rPr>
          <w:rFonts w:ascii="Arial" w:hAnsi="Arial" w:cs="Arial"/>
        </w:rPr>
        <w:t xml:space="preserve"> of Americans, even when datasets were heavily incomplete</w:t>
      </w:r>
      <w:r w:rsidR="00C72100" w:rsidRPr="007262BA">
        <w:rPr>
          <w:rFonts w:ascii="Arial" w:hAnsi="Arial" w:cs="Arial"/>
        </w:rPr>
        <w:t xml:space="preserve">. </w:t>
      </w:r>
    </w:p>
    <w:p w14:paraId="631ED102" w14:textId="77777777" w:rsidR="00AB43C3" w:rsidRPr="007262BA" w:rsidRDefault="00AB43C3" w:rsidP="007262BA">
      <w:pPr>
        <w:spacing w:line="360" w:lineRule="auto"/>
        <w:rPr>
          <w:rFonts w:ascii="Arial" w:hAnsi="Arial" w:cs="Arial"/>
        </w:rPr>
      </w:pPr>
    </w:p>
    <w:p w14:paraId="459C8476" w14:textId="5ACD9F32" w:rsidR="00C72100" w:rsidRPr="007262BA" w:rsidRDefault="00C72100" w:rsidP="007262BA">
      <w:pPr>
        <w:spacing w:line="360" w:lineRule="auto"/>
        <w:rPr>
          <w:rFonts w:ascii="Arial" w:hAnsi="Arial" w:cs="Arial"/>
        </w:rPr>
      </w:pPr>
      <w:r w:rsidRPr="007262BA">
        <w:rPr>
          <w:rFonts w:ascii="Arial" w:hAnsi="Arial" w:cs="Arial"/>
        </w:rPr>
        <w:t xml:space="preserve">At first glance, </w:t>
      </w:r>
      <w:proofErr w:type="gramStart"/>
      <w:r w:rsidRPr="007262BA">
        <w:rPr>
          <w:rFonts w:ascii="Arial" w:hAnsi="Arial" w:cs="Arial"/>
        </w:rPr>
        <w:t>this positions</w:t>
      </w:r>
      <w:proofErr w:type="gramEnd"/>
      <w:r w:rsidRPr="007262BA">
        <w:rPr>
          <w:rFonts w:ascii="Arial" w:hAnsi="Arial" w:cs="Arial"/>
        </w:rPr>
        <w:t xml:space="preserve"> open science and privacy as adversaries. However, this tension may be resolved by </w:t>
      </w:r>
      <w:r w:rsidR="00DE6909" w:rsidRPr="007262BA">
        <w:rPr>
          <w:rFonts w:ascii="Arial" w:hAnsi="Arial" w:cs="Arial"/>
        </w:rPr>
        <w:t>considering</w:t>
      </w:r>
      <w:r w:rsidRPr="007262BA">
        <w:rPr>
          <w:rFonts w:ascii="Arial" w:hAnsi="Arial" w:cs="Arial"/>
        </w:rPr>
        <w:t xml:space="preserve"> ‘open’ as distinct from ‘available to anyone’. The FAIR guidance principles posit that data should be findable, accessible, interoperable and reusable</w:t>
      </w:r>
      <w:r w:rsidR="00DE6909" w:rsidRPr="007262BA">
        <w:rPr>
          <w:rFonts w:ascii="Arial" w:hAnsi="Arial" w:cs="Arial"/>
        </w:rPr>
        <w:t>, but access may be conditional</w:t>
      </w:r>
      <w:r w:rsidRPr="007262BA">
        <w:rPr>
          <w:rFonts w:ascii="Arial" w:hAnsi="Arial" w:cs="Arial"/>
        </w:rPr>
        <w:t xml:space="preserve"> (Wilkinson et al., 2016). </w:t>
      </w:r>
      <w:r w:rsidR="00DE6909" w:rsidRPr="007262BA">
        <w:rPr>
          <w:rFonts w:ascii="Arial" w:hAnsi="Arial" w:cs="Arial"/>
        </w:rPr>
        <w:t xml:space="preserve">In this context, anonymised metadata and computational analysis pipelines can be shared publicly while direct access to source images is controlled (Sant and Bajada, 2025). </w:t>
      </w:r>
      <w:r w:rsidR="001F3D6B" w:rsidRPr="007262BA">
        <w:rPr>
          <w:rFonts w:ascii="Arial" w:hAnsi="Arial" w:cs="Arial"/>
        </w:rPr>
        <w:t>This middle ground permits good data stewardship: we may garner the</w:t>
      </w:r>
      <w:r w:rsidR="00DE6909" w:rsidRPr="007262BA">
        <w:rPr>
          <w:rFonts w:ascii="Arial" w:hAnsi="Arial" w:cs="Arial"/>
        </w:rPr>
        <w:t xml:space="preserve"> benefits of open science practices while </w:t>
      </w:r>
      <w:r w:rsidR="001F3D6B" w:rsidRPr="007262BA">
        <w:rPr>
          <w:rFonts w:ascii="Arial" w:hAnsi="Arial" w:cs="Arial"/>
        </w:rPr>
        <w:t>firmly safeguarding</w:t>
      </w:r>
      <w:r w:rsidR="00DE6909" w:rsidRPr="007262BA">
        <w:rPr>
          <w:rFonts w:ascii="Arial" w:hAnsi="Arial" w:cs="Arial"/>
        </w:rPr>
        <w:t xml:space="preserve"> the privacy of intrinsically identifiable scan data as paramount. </w:t>
      </w:r>
    </w:p>
    <w:p w14:paraId="7B687259" w14:textId="77777777" w:rsidR="001F3D6B" w:rsidRPr="007262BA" w:rsidRDefault="001F3D6B" w:rsidP="007262BA">
      <w:pPr>
        <w:spacing w:line="360" w:lineRule="auto"/>
        <w:rPr>
          <w:rFonts w:ascii="Arial" w:hAnsi="Arial" w:cs="Arial"/>
        </w:rPr>
      </w:pPr>
    </w:p>
    <w:p w14:paraId="6B77C307" w14:textId="572D2980" w:rsidR="00DE6909" w:rsidRDefault="00BA18A5" w:rsidP="007262BA">
      <w:pPr>
        <w:spacing w:line="360" w:lineRule="auto"/>
        <w:rPr>
          <w:rFonts w:ascii="Arial" w:hAnsi="Arial" w:cs="Arial"/>
          <w:b/>
          <w:bCs/>
          <w:i/>
          <w:iCs/>
        </w:rPr>
      </w:pPr>
      <w:r w:rsidRPr="007262BA">
        <w:rPr>
          <w:rFonts w:ascii="Arial" w:hAnsi="Arial" w:cs="Arial"/>
          <w:b/>
          <w:bCs/>
          <w:i/>
          <w:iCs/>
        </w:rPr>
        <w:t xml:space="preserve">Why consent is both necessary and insufficient  </w:t>
      </w:r>
    </w:p>
    <w:p w14:paraId="16E37D13" w14:textId="77777777" w:rsidR="001A6559" w:rsidRPr="001A6559" w:rsidRDefault="001A6559" w:rsidP="007262BA">
      <w:pPr>
        <w:spacing w:line="360" w:lineRule="auto"/>
        <w:rPr>
          <w:rFonts w:ascii="Arial" w:hAnsi="Arial" w:cs="Arial"/>
          <w:b/>
          <w:bCs/>
          <w:i/>
          <w:iCs/>
        </w:rPr>
      </w:pPr>
    </w:p>
    <w:p w14:paraId="48F80C01" w14:textId="755A55AC" w:rsidR="002301C7" w:rsidRPr="007262BA" w:rsidRDefault="00B0023A" w:rsidP="007262BA">
      <w:pPr>
        <w:spacing w:line="360" w:lineRule="auto"/>
        <w:rPr>
          <w:rFonts w:ascii="Arial" w:hAnsi="Arial" w:cs="Arial"/>
        </w:rPr>
      </w:pPr>
      <w:r w:rsidRPr="007262BA">
        <w:rPr>
          <w:rFonts w:ascii="Arial" w:hAnsi="Arial" w:cs="Arial"/>
        </w:rPr>
        <w:t>Consent is ethically vital</w:t>
      </w:r>
      <w:r w:rsidR="00B337C7" w:rsidRPr="007262BA">
        <w:rPr>
          <w:rFonts w:ascii="Arial" w:hAnsi="Arial" w:cs="Arial"/>
        </w:rPr>
        <w:t xml:space="preserve"> and</w:t>
      </w:r>
      <w:r w:rsidR="002301C7" w:rsidRPr="007262BA">
        <w:rPr>
          <w:rFonts w:ascii="Arial" w:hAnsi="Arial" w:cs="Arial"/>
        </w:rPr>
        <w:t xml:space="preserve"> </w:t>
      </w:r>
      <w:r w:rsidR="00B337C7" w:rsidRPr="007262BA">
        <w:rPr>
          <w:rFonts w:ascii="Arial" w:hAnsi="Arial" w:cs="Arial"/>
        </w:rPr>
        <w:t xml:space="preserve">embedded within the </w:t>
      </w:r>
      <w:r w:rsidR="002301C7" w:rsidRPr="007262BA">
        <w:rPr>
          <w:rFonts w:ascii="Arial" w:hAnsi="Arial" w:cs="Arial"/>
        </w:rPr>
        <w:t xml:space="preserve">UK’s legal framework for health research.  </w:t>
      </w:r>
      <w:r w:rsidR="00AF606D" w:rsidRPr="007262BA">
        <w:rPr>
          <w:rFonts w:ascii="Arial" w:hAnsi="Arial" w:cs="Arial"/>
        </w:rPr>
        <w:t xml:space="preserve">The current system is best examined through an example. Suppose a neuroradiology researcher hopes to train a diagnostic AI model </w:t>
      </w:r>
      <w:r w:rsidR="002301C7" w:rsidRPr="007262BA">
        <w:rPr>
          <w:rFonts w:ascii="Arial" w:hAnsi="Arial" w:cs="Arial"/>
        </w:rPr>
        <w:t>on</w:t>
      </w:r>
      <w:r w:rsidR="00AF606D" w:rsidRPr="007262BA">
        <w:rPr>
          <w:rFonts w:ascii="Arial" w:hAnsi="Arial" w:cs="Arial"/>
        </w:rPr>
        <w:t xml:space="preserve"> historical NHS brain MRIs. </w:t>
      </w:r>
      <w:r w:rsidR="002301C7" w:rsidRPr="007262BA">
        <w:rPr>
          <w:rFonts w:ascii="Arial" w:hAnsi="Arial" w:cs="Arial"/>
        </w:rPr>
        <w:t xml:space="preserve">Because the scans are personal health data, the NHS organisation needs an Article 6 UK GDPR lawful basis – here, a task in the public interest – and an Article 9 condition – here, processing necessary for scientific research. This does not constitute patient consent. Separately, common-law confidentiality </w:t>
      </w:r>
      <w:r w:rsidR="00992692" w:rsidRPr="007262BA">
        <w:rPr>
          <w:rFonts w:ascii="Arial" w:hAnsi="Arial" w:cs="Arial"/>
        </w:rPr>
        <w:t>gener</w:t>
      </w:r>
      <w:r w:rsidR="002301C7" w:rsidRPr="007262BA">
        <w:rPr>
          <w:rFonts w:ascii="Arial" w:hAnsi="Arial" w:cs="Arial"/>
        </w:rPr>
        <w:t xml:space="preserve">ally prevents disclosure </w:t>
      </w:r>
      <w:r w:rsidR="00992692" w:rsidRPr="007262BA">
        <w:rPr>
          <w:rFonts w:ascii="Arial" w:hAnsi="Arial" w:cs="Arial"/>
        </w:rPr>
        <w:t>to anyone outside</w:t>
      </w:r>
      <w:r w:rsidR="002301C7" w:rsidRPr="007262BA">
        <w:rPr>
          <w:rFonts w:ascii="Arial" w:hAnsi="Arial" w:cs="Arial"/>
        </w:rPr>
        <w:t xml:space="preserve"> the care team without consent</w:t>
      </w:r>
      <w:r w:rsidR="00992692" w:rsidRPr="007262BA">
        <w:rPr>
          <w:rFonts w:ascii="Arial" w:hAnsi="Arial" w:cs="Arial"/>
        </w:rPr>
        <w:t>. Consent can be provided explicitly; however</w:t>
      </w:r>
      <w:r w:rsidR="002301C7" w:rsidRPr="007262BA">
        <w:rPr>
          <w:rFonts w:ascii="Arial" w:hAnsi="Arial" w:cs="Arial"/>
        </w:rPr>
        <w:t xml:space="preserve">, if recontacting thousands of patients is impracticable and anonymisation would undermine the research, </w:t>
      </w:r>
      <w:r w:rsidR="00992692" w:rsidRPr="007262BA">
        <w:rPr>
          <w:rFonts w:ascii="Arial" w:hAnsi="Arial" w:cs="Arial"/>
        </w:rPr>
        <w:t xml:space="preserve">support under the </w:t>
      </w:r>
      <w:r w:rsidR="002301C7" w:rsidRPr="007262BA">
        <w:rPr>
          <w:rFonts w:ascii="Arial" w:hAnsi="Arial" w:cs="Arial"/>
        </w:rPr>
        <w:t xml:space="preserve">NHS Act 2006 Section 251 may authorise </w:t>
      </w:r>
      <w:r w:rsidR="0095264F" w:rsidRPr="007262BA">
        <w:rPr>
          <w:rFonts w:ascii="Arial" w:hAnsi="Arial" w:cs="Arial"/>
        </w:rPr>
        <w:t xml:space="preserve">the researcher’s </w:t>
      </w:r>
      <w:r w:rsidR="002301C7" w:rsidRPr="007262BA">
        <w:rPr>
          <w:rFonts w:ascii="Arial" w:hAnsi="Arial" w:cs="Arial"/>
        </w:rPr>
        <w:t xml:space="preserve">access in England and Wales (HRA, 2018; HRA, 2022).  </w:t>
      </w:r>
    </w:p>
    <w:p w14:paraId="3A4BC101" w14:textId="77777777" w:rsidR="002301C7" w:rsidRPr="007262BA" w:rsidRDefault="002301C7" w:rsidP="007262BA">
      <w:pPr>
        <w:spacing w:line="360" w:lineRule="auto"/>
        <w:rPr>
          <w:rFonts w:ascii="Arial" w:hAnsi="Arial" w:cs="Arial"/>
        </w:rPr>
      </w:pPr>
    </w:p>
    <w:p w14:paraId="414B49D1" w14:textId="4FF8FFDB" w:rsidR="00992692" w:rsidRPr="007262BA" w:rsidRDefault="00992692" w:rsidP="007262BA">
      <w:pPr>
        <w:spacing w:line="360" w:lineRule="auto"/>
        <w:rPr>
          <w:rFonts w:ascii="Arial" w:hAnsi="Arial" w:cs="Arial"/>
        </w:rPr>
      </w:pPr>
      <w:r w:rsidRPr="007262BA">
        <w:rPr>
          <w:rFonts w:ascii="Arial" w:hAnsi="Arial" w:cs="Arial"/>
        </w:rPr>
        <w:lastRenderedPageBreak/>
        <w:t>Section 251 does not confer blanket permission. England’s National Data Opt-Out allows patients to prevent their confidential patient information being used for research and commissioning. Consequently, the</w:t>
      </w:r>
      <w:r w:rsidR="0095264F" w:rsidRPr="007262BA">
        <w:rPr>
          <w:rFonts w:ascii="Arial" w:hAnsi="Arial" w:cs="Arial"/>
        </w:rPr>
        <w:t xml:space="preserve"> researcher must exclude the scans of any patient who has opted out. </w:t>
      </w:r>
      <w:r w:rsidRPr="007262BA">
        <w:rPr>
          <w:rFonts w:ascii="Arial" w:hAnsi="Arial" w:cs="Arial"/>
        </w:rPr>
        <w:t>It is also important to note that patients who have not opted out have not thereby consented. Thus, the UK GDPR, confidentiality, consent and opt-out provide overlapping safeguards</w:t>
      </w:r>
      <w:r w:rsidR="006A5F4E" w:rsidRPr="007262BA">
        <w:rPr>
          <w:rFonts w:ascii="Arial" w:hAnsi="Arial" w:cs="Arial"/>
        </w:rPr>
        <w:t xml:space="preserve"> to protect personal health data and centre patient choice (HRA, 2022; NHS England, 2023). </w:t>
      </w:r>
    </w:p>
    <w:p w14:paraId="546DC27C" w14:textId="77777777" w:rsidR="006C435D" w:rsidRPr="007262BA" w:rsidRDefault="006C435D" w:rsidP="007262BA">
      <w:pPr>
        <w:spacing w:line="360" w:lineRule="auto"/>
        <w:rPr>
          <w:rFonts w:ascii="Arial" w:hAnsi="Arial" w:cs="Arial"/>
        </w:rPr>
      </w:pPr>
    </w:p>
    <w:p w14:paraId="777F4262" w14:textId="77777777" w:rsidR="007A31D9" w:rsidRPr="007262BA" w:rsidRDefault="0095264F" w:rsidP="007262BA">
      <w:pPr>
        <w:spacing w:line="360" w:lineRule="auto"/>
        <w:rPr>
          <w:rFonts w:ascii="Arial" w:hAnsi="Arial" w:cs="Arial"/>
        </w:rPr>
      </w:pPr>
      <w:r w:rsidRPr="007262BA">
        <w:rPr>
          <w:rFonts w:ascii="Arial" w:hAnsi="Arial" w:cs="Arial"/>
        </w:rPr>
        <w:t xml:space="preserve">Conventional consent processes have limitations. Study-specific consent is clear-cut but precludes use in valuable future research. Blanket consent can accelerate research by </w:t>
      </w:r>
      <w:r w:rsidR="00797E26" w:rsidRPr="007262BA">
        <w:rPr>
          <w:rFonts w:ascii="Arial" w:hAnsi="Arial" w:cs="Arial"/>
        </w:rPr>
        <w:t>enabl</w:t>
      </w:r>
      <w:r w:rsidRPr="007262BA">
        <w:rPr>
          <w:rFonts w:ascii="Arial" w:hAnsi="Arial" w:cs="Arial"/>
        </w:rPr>
        <w:t>ing broad</w:t>
      </w:r>
      <w:r w:rsidR="00797E26" w:rsidRPr="007262BA">
        <w:rPr>
          <w:rFonts w:ascii="Arial" w:hAnsi="Arial" w:cs="Arial"/>
        </w:rPr>
        <w:t>,</w:t>
      </w:r>
      <w:r w:rsidRPr="007262BA">
        <w:rPr>
          <w:rFonts w:ascii="Arial" w:hAnsi="Arial" w:cs="Arial"/>
        </w:rPr>
        <w:t xml:space="preserve"> diverse use cases</w:t>
      </w:r>
      <w:r w:rsidR="00063031" w:rsidRPr="007262BA">
        <w:rPr>
          <w:rFonts w:ascii="Arial" w:hAnsi="Arial" w:cs="Arial"/>
        </w:rPr>
        <w:t xml:space="preserve">, but such open-ended applications make it </w:t>
      </w:r>
      <w:r w:rsidR="00797E26" w:rsidRPr="007262BA">
        <w:rPr>
          <w:rFonts w:ascii="Arial" w:hAnsi="Arial" w:cs="Arial"/>
        </w:rPr>
        <w:t>challenging</w:t>
      </w:r>
      <w:r w:rsidR="00063031" w:rsidRPr="007262BA">
        <w:rPr>
          <w:rFonts w:ascii="Arial" w:hAnsi="Arial" w:cs="Arial"/>
        </w:rPr>
        <w:t xml:space="preserve"> to ensure </w:t>
      </w:r>
      <w:r w:rsidR="00797E26" w:rsidRPr="007262BA">
        <w:rPr>
          <w:rFonts w:ascii="Arial" w:hAnsi="Arial" w:cs="Arial"/>
        </w:rPr>
        <w:t xml:space="preserve">that </w:t>
      </w:r>
      <w:r w:rsidR="00063031" w:rsidRPr="007262BA">
        <w:rPr>
          <w:rFonts w:ascii="Arial" w:hAnsi="Arial" w:cs="Arial"/>
        </w:rPr>
        <w:t xml:space="preserve">consent is truly informed. </w:t>
      </w:r>
    </w:p>
    <w:p w14:paraId="14381CD4" w14:textId="77777777" w:rsidR="007A31D9" w:rsidRPr="007262BA" w:rsidRDefault="007A31D9" w:rsidP="007262BA">
      <w:pPr>
        <w:spacing w:line="360" w:lineRule="auto"/>
        <w:rPr>
          <w:rFonts w:ascii="Arial" w:hAnsi="Arial" w:cs="Arial"/>
        </w:rPr>
      </w:pPr>
    </w:p>
    <w:p w14:paraId="2C34A7D3" w14:textId="6822A59B" w:rsidR="00D65BD6" w:rsidRPr="007262BA" w:rsidRDefault="00797E26" w:rsidP="007262BA">
      <w:pPr>
        <w:spacing w:line="360" w:lineRule="auto"/>
        <w:rPr>
          <w:rFonts w:ascii="Arial" w:hAnsi="Arial" w:cs="Arial"/>
        </w:rPr>
      </w:pPr>
      <w:r w:rsidRPr="007262BA">
        <w:rPr>
          <w:rFonts w:ascii="Arial" w:hAnsi="Arial" w:cs="Arial"/>
        </w:rPr>
        <w:t xml:space="preserve">The Data (Use and Access) Act 2025 states that consent can cover broad areas of </w:t>
      </w:r>
      <w:r w:rsidRPr="007262BA">
        <w:rPr>
          <w:rFonts w:ascii="Arial" w:hAnsi="Arial" w:cs="Arial"/>
          <w:kern w:val="0"/>
          <w14:ligatures w14:val="none"/>
        </w:rPr>
        <w:t>scientific research when its exact purpose cannot initially be defined, provided that recognised ethical standards are met and participants can restrict consent to specific aspects of the research</w:t>
      </w:r>
      <w:r w:rsidRPr="007262BA">
        <w:rPr>
          <w:rFonts w:ascii="Arial" w:hAnsi="Arial" w:cs="Arial"/>
        </w:rPr>
        <w:t xml:space="preserve"> (Data (Use and Access) Act, 2025). Best practice, then, would ensure broad consent remains as informed as possible: it should still specify research domains, likely uses, the role of commercial partners, linkage, security, procedures for managing incidental findings, and realistic limits of withdrawal (for example, once published in academic journals, it may not be possible to withdraw as data must be archived to preserve academic integrity). </w:t>
      </w:r>
      <w:r w:rsidR="00D65BD6" w:rsidRPr="007262BA">
        <w:rPr>
          <w:rFonts w:ascii="Arial" w:hAnsi="Arial" w:cs="Arial"/>
        </w:rPr>
        <w:t xml:space="preserve">If a valuable unforeseen use case that materially departs from this consent emerges, patients should ideally be re-contacted. </w:t>
      </w:r>
    </w:p>
    <w:p w14:paraId="6D297243" w14:textId="77777777" w:rsidR="006C435D" w:rsidRPr="007262BA" w:rsidRDefault="006C435D" w:rsidP="007262BA">
      <w:pPr>
        <w:spacing w:line="360" w:lineRule="auto"/>
        <w:rPr>
          <w:rFonts w:ascii="Arial" w:hAnsi="Arial" w:cs="Arial"/>
        </w:rPr>
      </w:pPr>
    </w:p>
    <w:p w14:paraId="2E607F0E" w14:textId="60F476B1" w:rsidR="00356AF3" w:rsidRPr="007262BA" w:rsidRDefault="007A31D9" w:rsidP="007262BA">
      <w:pPr>
        <w:spacing w:line="360" w:lineRule="auto"/>
        <w:rPr>
          <w:rFonts w:ascii="Arial" w:hAnsi="Arial" w:cs="Arial"/>
        </w:rPr>
      </w:pPr>
      <w:r w:rsidRPr="007262BA">
        <w:rPr>
          <w:rFonts w:ascii="Arial" w:hAnsi="Arial" w:cs="Arial"/>
        </w:rPr>
        <w:t xml:space="preserve">Another consideration is a dynamic consent model in which patients may revisit their choices and receive updates through a secure system (Kaye et al., 2015). Though clearly beneficial, there are limitations. Limited digital access or literacy may exclude people if secure systems are exclusively digital; hence, digital and non-digital preference management options are necessary. It is similarly essential to ensure that dynamic consent does not excessively burden patients with repeated requests, which </w:t>
      </w:r>
      <w:r w:rsidRPr="007262BA">
        <w:rPr>
          <w:rFonts w:ascii="Arial" w:hAnsi="Arial" w:cs="Arial"/>
          <w:kern w:val="0"/>
          <w14:ligatures w14:val="none"/>
        </w:rPr>
        <w:t>could, in turn, introduce a selection bias as the participant group narrows to those with the time and resources to remain</w:t>
      </w:r>
      <w:r w:rsidRPr="007262BA">
        <w:rPr>
          <w:rFonts w:ascii="Arial" w:hAnsi="Arial" w:cs="Arial"/>
        </w:rPr>
        <w:t xml:space="preserve"> engaged (Teare et al., 2021). </w:t>
      </w:r>
      <w:r w:rsidR="00356AF3" w:rsidRPr="007262BA">
        <w:rPr>
          <w:rFonts w:ascii="Arial" w:hAnsi="Arial" w:cs="Arial"/>
        </w:rPr>
        <w:t xml:space="preserve">Two safeguards could address this. First, individuals should be able to choose how </w:t>
      </w:r>
      <w:r w:rsidR="00356AF3" w:rsidRPr="007262BA">
        <w:rPr>
          <w:rFonts w:ascii="Arial" w:hAnsi="Arial" w:cs="Arial"/>
        </w:rPr>
        <w:lastRenderedPageBreak/>
        <w:t xml:space="preserve">actively they are contacted. Second, responsibility to reject unsafe or unjustified projects must not be delegated to participants – discerning such projects remains the duty of data stewards. </w:t>
      </w:r>
    </w:p>
    <w:p w14:paraId="0BCDEF00" w14:textId="38ED38B8" w:rsidR="00E3627A" w:rsidRPr="007262BA" w:rsidRDefault="00E3627A" w:rsidP="007262BA">
      <w:pPr>
        <w:spacing w:line="360" w:lineRule="auto"/>
        <w:rPr>
          <w:rFonts w:ascii="Arial" w:hAnsi="Arial" w:cs="Arial"/>
        </w:rPr>
      </w:pPr>
    </w:p>
    <w:p w14:paraId="3BE1D25E" w14:textId="738EF006" w:rsidR="003C5879" w:rsidRPr="007262BA" w:rsidRDefault="00E3627A" w:rsidP="007262BA">
      <w:pPr>
        <w:spacing w:line="360" w:lineRule="auto"/>
        <w:rPr>
          <w:rFonts w:ascii="Arial" w:hAnsi="Arial" w:cs="Arial"/>
        </w:rPr>
      </w:pPr>
      <w:r w:rsidRPr="007262BA">
        <w:rPr>
          <w:rFonts w:ascii="Arial" w:hAnsi="Arial" w:cs="Arial"/>
        </w:rPr>
        <w:t xml:space="preserve">It is also essential to consider capacity in the context of consent. </w:t>
      </w:r>
      <w:r w:rsidR="00356AF3" w:rsidRPr="007262BA">
        <w:rPr>
          <w:rFonts w:ascii="Arial" w:hAnsi="Arial" w:cs="Arial"/>
        </w:rPr>
        <w:t xml:space="preserve">Conditions such as stroke, dementia and brain injury may impair decision-making among precisely the people that neuroradiological research needs to represent. It is certainly not in the best interests of these patients </w:t>
      </w:r>
      <w:r w:rsidR="003C5879" w:rsidRPr="007262BA">
        <w:rPr>
          <w:rFonts w:ascii="Arial" w:hAnsi="Arial" w:cs="Arial"/>
        </w:rPr>
        <w:t>to be excluded</w:t>
      </w:r>
      <w:r w:rsidR="00356AF3" w:rsidRPr="007262BA">
        <w:rPr>
          <w:rFonts w:ascii="Arial" w:hAnsi="Arial" w:cs="Arial"/>
        </w:rPr>
        <w:t xml:space="preserve"> </w:t>
      </w:r>
      <w:r w:rsidR="003C5879" w:rsidRPr="007262BA">
        <w:rPr>
          <w:rFonts w:ascii="Arial" w:hAnsi="Arial" w:cs="Arial"/>
        </w:rPr>
        <w:t xml:space="preserve">from </w:t>
      </w:r>
      <w:r w:rsidR="00356AF3" w:rsidRPr="007262BA">
        <w:rPr>
          <w:rFonts w:ascii="Arial" w:hAnsi="Arial" w:cs="Arial"/>
        </w:rPr>
        <w:t>research that may improve their care</w:t>
      </w:r>
      <w:r w:rsidR="003C5879" w:rsidRPr="007262BA">
        <w:rPr>
          <w:rFonts w:ascii="Arial" w:hAnsi="Arial" w:cs="Arial"/>
        </w:rPr>
        <w:t xml:space="preserve">, but it adds complexity to governance. The Mental Capacity Act 2005 guides decisions in these cases. A proxy cannot simply consent for someone without capacity: instead, a combination of Research Ethics Committee approval and consultee advice on likely wishes is considered, and a present objection will still be respected (HRA, 2026). Should capacity return, requiring renewed consent protects both patient autonomy and justice. </w:t>
      </w:r>
    </w:p>
    <w:p w14:paraId="5CCABC38" w14:textId="77777777" w:rsidR="003C5879" w:rsidRPr="007262BA" w:rsidRDefault="003C5879" w:rsidP="007262BA">
      <w:pPr>
        <w:spacing w:line="360" w:lineRule="auto"/>
        <w:rPr>
          <w:rFonts w:ascii="Arial" w:hAnsi="Arial" w:cs="Arial"/>
        </w:rPr>
      </w:pPr>
    </w:p>
    <w:p w14:paraId="1F97976B" w14:textId="6F804540" w:rsidR="003C5879" w:rsidRPr="007262BA" w:rsidRDefault="003C5879" w:rsidP="007262BA">
      <w:pPr>
        <w:spacing w:line="360" w:lineRule="auto"/>
        <w:rPr>
          <w:rFonts w:ascii="Arial" w:hAnsi="Arial" w:cs="Arial"/>
          <w:b/>
          <w:bCs/>
          <w:i/>
          <w:iCs/>
        </w:rPr>
      </w:pPr>
      <w:r w:rsidRPr="007262BA">
        <w:rPr>
          <w:rFonts w:ascii="Arial" w:hAnsi="Arial" w:cs="Arial"/>
          <w:b/>
          <w:bCs/>
          <w:i/>
          <w:iCs/>
        </w:rPr>
        <w:t xml:space="preserve">The public cannot be excluded from determining the public good </w:t>
      </w:r>
    </w:p>
    <w:p w14:paraId="1F230742" w14:textId="77777777" w:rsidR="003C5879" w:rsidRPr="007262BA" w:rsidRDefault="003C5879" w:rsidP="007262BA">
      <w:pPr>
        <w:spacing w:line="360" w:lineRule="auto"/>
        <w:rPr>
          <w:rFonts w:ascii="Arial" w:hAnsi="Arial" w:cs="Arial"/>
        </w:rPr>
      </w:pPr>
    </w:p>
    <w:p w14:paraId="56797604" w14:textId="1EDEAED4" w:rsidR="003C5879" w:rsidRPr="007262BA" w:rsidRDefault="00E20AE7" w:rsidP="007262BA">
      <w:pPr>
        <w:spacing w:line="360" w:lineRule="auto"/>
        <w:rPr>
          <w:rFonts w:ascii="Arial" w:hAnsi="Arial" w:cs="Arial"/>
        </w:rPr>
      </w:pPr>
      <w:r w:rsidRPr="007262BA">
        <w:rPr>
          <w:rFonts w:ascii="Arial" w:hAnsi="Arial" w:cs="Arial"/>
        </w:rPr>
        <w:t>The phrase ‘public good’ is not a blunt instrument to settle disputes about whether research is justified. Kalkman et al.’s 20</w:t>
      </w:r>
      <w:r w:rsidR="00004F1D">
        <w:rPr>
          <w:rFonts w:ascii="Arial" w:hAnsi="Arial" w:cs="Arial"/>
        </w:rPr>
        <w:t>22</w:t>
      </w:r>
      <w:r w:rsidRPr="007262BA">
        <w:rPr>
          <w:rFonts w:ascii="Arial" w:hAnsi="Arial" w:cs="Arial"/>
        </w:rPr>
        <w:t xml:space="preserve"> narrative review </w:t>
      </w:r>
      <w:r w:rsidR="00046BA6" w:rsidRPr="007262BA">
        <w:rPr>
          <w:rFonts w:ascii="Arial" w:hAnsi="Arial" w:cs="Arial"/>
        </w:rPr>
        <w:t xml:space="preserve">revealed broad public willingness to share health data for research, but that support is contingent on purpose, confidentiality, transparency and who will use the data (Kalkman et al., 2022). The demise of NHS England’s </w:t>
      </w:r>
      <w:proofErr w:type="spellStart"/>
      <w:r w:rsidR="00046BA6" w:rsidRPr="007262BA">
        <w:rPr>
          <w:rFonts w:ascii="Arial" w:hAnsi="Arial" w:cs="Arial"/>
          <w:i/>
          <w:iCs/>
        </w:rPr>
        <w:t>care.data</w:t>
      </w:r>
      <w:proofErr w:type="spellEnd"/>
      <w:r w:rsidR="00046BA6" w:rsidRPr="007262BA">
        <w:rPr>
          <w:rFonts w:ascii="Arial" w:hAnsi="Arial" w:cs="Arial"/>
        </w:rPr>
        <w:t xml:space="preserve"> programme demonstrated that legality is insufficient as a social licence for researc</w:t>
      </w:r>
      <w:r w:rsidR="001D0065" w:rsidRPr="007262BA">
        <w:rPr>
          <w:rFonts w:ascii="Arial" w:hAnsi="Arial" w:cs="Arial"/>
        </w:rPr>
        <w:t>h. Instead, an analysis by Carter et al. (20</w:t>
      </w:r>
      <w:r w:rsidR="00DE1289">
        <w:rPr>
          <w:rFonts w:ascii="Arial" w:hAnsi="Arial" w:cs="Arial"/>
        </w:rPr>
        <w:t>1</w:t>
      </w:r>
      <w:r w:rsidR="001D0065" w:rsidRPr="007262BA">
        <w:rPr>
          <w:rFonts w:ascii="Arial" w:hAnsi="Arial" w:cs="Arial"/>
        </w:rPr>
        <w:t xml:space="preserve">5) suggests a social licence is conditional on reciprocity, non-exploitation, and service of the public good. </w:t>
      </w:r>
    </w:p>
    <w:p w14:paraId="2EDC6A1F" w14:textId="559E23B5" w:rsidR="001D0065" w:rsidRPr="007262BA" w:rsidRDefault="001D0065" w:rsidP="007262BA">
      <w:pPr>
        <w:spacing w:line="360" w:lineRule="auto"/>
        <w:rPr>
          <w:rFonts w:ascii="Arial" w:hAnsi="Arial" w:cs="Arial"/>
        </w:rPr>
      </w:pPr>
    </w:p>
    <w:p w14:paraId="63966D54" w14:textId="495095EE" w:rsidR="00357228" w:rsidRPr="007262BA" w:rsidRDefault="001D0065" w:rsidP="007262BA">
      <w:pPr>
        <w:spacing w:line="360" w:lineRule="auto"/>
        <w:rPr>
          <w:rFonts w:ascii="Arial" w:hAnsi="Arial" w:cs="Arial"/>
        </w:rPr>
      </w:pPr>
      <w:r w:rsidRPr="007262BA">
        <w:rPr>
          <w:rFonts w:ascii="Arial" w:hAnsi="Arial" w:cs="Arial"/>
        </w:rPr>
        <w:t xml:space="preserve">Public benefit is also not simply derived from the total number helped. An algorithm may improve accuracy while exacerbating existing inequalities. </w:t>
      </w:r>
      <w:r w:rsidR="00E16100" w:rsidRPr="007262BA">
        <w:rPr>
          <w:rFonts w:ascii="Arial" w:hAnsi="Arial" w:cs="Arial"/>
        </w:rPr>
        <w:t xml:space="preserve">For example, Larrazabal et al. (2020) found consistently poorer performance for the underrepresented gender where training datasets had inadequate gender balance. </w:t>
      </w:r>
      <w:r w:rsidR="00357228" w:rsidRPr="007262BA">
        <w:rPr>
          <w:rFonts w:ascii="Arial" w:hAnsi="Arial" w:cs="Arial"/>
        </w:rPr>
        <w:t xml:space="preserve">Therefore, governance practices must be mindful of existing inequalities, whether representative training data is available and require subgroup-specific validation. </w:t>
      </w:r>
    </w:p>
    <w:p w14:paraId="4BA98C51" w14:textId="77777777" w:rsidR="00E16100" w:rsidRPr="007262BA" w:rsidRDefault="00E16100" w:rsidP="007262BA">
      <w:pPr>
        <w:spacing w:line="360" w:lineRule="auto"/>
        <w:rPr>
          <w:rFonts w:ascii="Arial" w:hAnsi="Arial" w:cs="Arial"/>
        </w:rPr>
      </w:pPr>
    </w:p>
    <w:p w14:paraId="160DCD22" w14:textId="46E9EECE" w:rsidR="00356AF3" w:rsidRPr="007262BA" w:rsidRDefault="000A3764" w:rsidP="007262BA">
      <w:pPr>
        <w:spacing w:line="360" w:lineRule="auto"/>
        <w:rPr>
          <w:rFonts w:ascii="Arial" w:hAnsi="Arial" w:cs="Arial"/>
          <w:b/>
          <w:bCs/>
          <w:i/>
          <w:iCs/>
        </w:rPr>
      </w:pPr>
      <w:r>
        <w:rPr>
          <w:rFonts w:ascii="Arial" w:hAnsi="Arial" w:cs="Arial"/>
          <w:b/>
          <w:bCs/>
          <w:i/>
          <w:iCs/>
        </w:rPr>
        <w:t>Practices to earn</w:t>
      </w:r>
      <w:r w:rsidR="00357228" w:rsidRPr="007262BA">
        <w:rPr>
          <w:rFonts w:ascii="Arial" w:hAnsi="Arial" w:cs="Arial"/>
          <w:b/>
          <w:bCs/>
          <w:i/>
          <w:iCs/>
        </w:rPr>
        <w:t xml:space="preserve"> trust </w:t>
      </w:r>
    </w:p>
    <w:p w14:paraId="0769854D" w14:textId="77777777" w:rsidR="00046BA6" w:rsidRPr="007262BA" w:rsidRDefault="00046BA6" w:rsidP="007262BA">
      <w:pPr>
        <w:spacing w:line="360" w:lineRule="auto"/>
        <w:rPr>
          <w:rFonts w:ascii="Arial" w:hAnsi="Arial" w:cs="Arial"/>
        </w:rPr>
      </w:pPr>
    </w:p>
    <w:p w14:paraId="06B20381" w14:textId="6E94C91C" w:rsidR="00E51FC7" w:rsidRPr="007262BA" w:rsidRDefault="00E51FC7" w:rsidP="007262BA">
      <w:pPr>
        <w:spacing w:line="360" w:lineRule="auto"/>
        <w:rPr>
          <w:rFonts w:ascii="Arial" w:hAnsi="Arial" w:cs="Arial"/>
        </w:rPr>
      </w:pPr>
      <w:r w:rsidRPr="007262BA">
        <w:rPr>
          <w:rFonts w:ascii="Arial" w:hAnsi="Arial" w:cs="Arial"/>
        </w:rPr>
        <w:t xml:space="preserve">The Five Safes –safe people, projects, settings, data and outputs– provide a framework </w:t>
      </w:r>
      <w:r w:rsidR="002900D9" w:rsidRPr="007262BA">
        <w:rPr>
          <w:rFonts w:ascii="Arial" w:hAnsi="Arial" w:cs="Arial"/>
        </w:rPr>
        <w:t xml:space="preserve">that can help safeguard neuroradiological data (UK Data Service, n.d.; Jones et al., 2023). Various approaches exist to operationalise this framework. For example, implementing Trusted Research Environments, which limit data access to approved users and release checked outputs. Additionally, where centralisation is unnecessary, federated learning </w:t>
      </w:r>
      <w:r w:rsidR="006B3718" w:rsidRPr="007262BA">
        <w:rPr>
          <w:rFonts w:ascii="Arial" w:hAnsi="Arial" w:cs="Arial"/>
          <w:kern w:val="0"/>
          <w14:ligatures w14:val="none"/>
        </w:rPr>
        <w:t>runs training algorithms on locally stored images, so that scans don’t leave the hospital servers; a ten-institution study demonstrated that federated learning achieved 99% of the quality of centralised models</w:t>
      </w:r>
      <w:r w:rsidR="002900D9" w:rsidRPr="007262BA">
        <w:rPr>
          <w:rFonts w:ascii="Arial" w:hAnsi="Arial" w:cs="Arial"/>
        </w:rPr>
        <w:t xml:space="preserve"> (Sheller et al., 2020; </w:t>
      </w:r>
      <w:proofErr w:type="spellStart"/>
      <w:r w:rsidR="002900D9" w:rsidRPr="007262BA">
        <w:rPr>
          <w:rFonts w:ascii="Arial" w:hAnsi="Arial" w:cs="Arial"/>
        </w:rPr>
        <w:t>Kaissis</w:t>
      </w:r>
      <w:proofErr w:type="spellEnd"/>
      <w:r w:rsidR="002900D9" w:rsidRPr="007262BA">
        <w:rPr>
          <w:rFonts w:ascii="Arial" w:hAnsi="Arial" w:cs="Arial"/>
        </w:rPr>
        <w:t xml:space="preserve"> et al., 2020). Both approaches still harbour security risks; thus, requirements for minimisation, time-limited access, audits, and sanctions remain. </w:t>
      </w:r>
    </w:p>
    <w:p w14:paraId="00F058D9" w14:textId="0D991CE1" w:rsidR="00046BA6" w:rsidRPr="007262BA" w:rsidRDefault="001D0065" w:rsidP="007262BA">
      <w:pPr>
        <w:tabs>
          <w:tab w:val="left" w:pos="1403"/>
        </w:tabs>
        <w:spacing w:line="360" w:lineRule="auto"/>
        <w:rPr>
          <w:rFonts w:ascii="Arial" w:hAnsi="Arial" w:cs="Arial"/>
        </w:rPr>
      </w:pPr>
      <w:r w:rsidRPr="007262BA">
        <w:rPr>
          <w:rFonts w:ascii="Arial" w:hAnsi="Arial" w:cs="Arial"/>
        </w:rPr>
        <w:tab/>
      </w:r>
    </w:p>
    <w:p w14:paraId="078B8C7A" w14:textId="2F57704D" w:rsidR="00046BA6" w:rsidRDefault="00004F1D" w:rsidP="007262BA">
      <w:pPr>
        <w:spacing w:line="360" w:lineRule="auto"/>
        <w:rPr>
          <w:rFonts w:ascii="Arial" w:hAnsi="Arial" w:cs="Arial"/>
        </w:rPr>
      </w:pPr>
      <w:r>
        <w:rPr>
          <w:rFonts w:ascii="Arial" w:hAnsi="Arial" w:cs="Arial"/>
        </w:rPr>
        <w:t xml:space="preserve">Technology alone is insufficient. Diverse, supported and paid patient and public contributors should meaningfully influence research priorities, consent processes, access decisions, and evaluation, while also contributing to proportionate approval processes that protect data without creating barriers to valuable research (Hassan et. al., 2020; Jones et al. 2023). </w:t>
      </w:r>
    </w:p>
    <w:p w14:paraId="68A78BDE" w14:textId="77777777" w:rsidR="00004F1D" w:rsidRPr="007262BA" w:rsidRDefault="00004F1D" w:rsidP="007262BA">
      <w:pPr>
        <w:spacing w:line="360" w:lineRule="auto"/>
        <w:rPr>
          <w:rFonts w:ascii="Arial" w:hAnsi="Arial" w:cs="Arial"/>
        </w:rPr>
      </w:pPr>
    </w:p>
    <w:p w14:paraId="77EFF3F1" w14:textId="720345FB" w:rsidR="00046BA6" w:rsidRPr="007262BA" w:rsidRDefault="00046BA6" w:rsidP="007262BA">
      <w:pPr>
        <w:spacing w:line="360" w:lineRule="auto"/>
        <w:rPr>
          <w:rFonts w:ascii="Arial" w:hAnsi="Arial" w:cs="Arial"/>
          <w:b/>
          <w:bCs/>
        </w:rPr>
      </w:pPr>
      <w:r w:rsidRPr="007262BA">
        <w:rPr>
          <w:rFonts w:ascii="Arial" w:hAnsi="Arial" w:cs="Arial"/>
          <w:b/>
          <w:bCs/>
        </w:rPr>
        <w:t xml:space="preserve">Conclusion </w:t>
      </w:r>
    </w:p>
    <w:p w14:paraId="0A52FAEA" w14:textId="68C7A8B2" w:rsidR="00356AF3" w:rsidRPr="007262BA" w:rsidRDefault="00356AF3" w:rsidP="007262BA">
      <w:pPr>
        <w:spacing w:line="360" w:lineRule="auto"/>
        <w:rPr>
          <w:rFonts w:ascii="Arial" w:hAnsi="Arial" w:cs="Arial"/>
        </w:rPr>
      </w:pPr>
    </w:p>
    <w:p w14:paraId="1E32E30C" w14:textId="3F5E0696" w:rsidR="003032AE" w:rsidRPr="007262BA" w:rsidRDefault="003032AE" w:rsidP="007262BA">
      <w:pPr>
        <w:spacing w:line="360" w:lineRule="auto"/>
        <w:rPr>
          <w:rFonts w:ascii="Arial" w:hAnsi="Arial" w:cs="Arial"/>
        </w:rPr>
      </w:pPr>
      <w:r w:rsidRPr="007262BA">
        <w:rPr>
          <w:rFonts w:ascii="Arial" w:hAnsi="Arial" w:cs="Arial"/>
        </w:rPr>
        <w:t xml:space="preserve">A one-off consent form is clearly insufficient to address all the complexities of the contemporary neuroradiology data-driven health research ecosystem. Equally, determining ‘public good’ without public consultation is paternalism. </w:t>
      </w:r>
      <w:r w:rsidR="00E51FC7" w:rsidRPr="007262BA">
        <w:rPr>
          <w:rFonts w:ascii="Arial" w:hAnsi="Arial" w:cs="Arial"/>
        </w:rPr>
        <w:t>By e</w:t>
      </w:r>
      <w:r w:rsidRPr="007262BA">
        <w:rPr>
          <w:rFonts w:ascii="Arial" w:hAnsi="Arial" w:cs="Arial"/>
        </w:rPr>
        <w:t xml:space="preserve">nacting meaningful individual choice, inclusive </w:t>
      </w:r>
      <w:r w:rsidR="00E51FC7" w:rsidRPr="007262BA">
        <w:rPr>
          <w:rFonts w:ascii="Arial" w:hAnsi="Arial" w:cs="Arial"/>
        </w:rPr>
        <w:t>oversight</w:t>
      </w:r>
      <w:r w:rsidRPr="007262BA">
        <w:rPr>
          <w:rFonts w:ascii="Arial" w:hAnsi="Arial" w:cs="Arial"/>
        </w:rPr>
        <w:t xml:space="preserve"> </w:t>
      </w:r>
      <w:r w:rsidR="00E51FC7" w:rsidRPr="007262BA">
        <w:rPr>
          <w:rFonts w:ascii="Arial" w:hAnsi="Arial" w:cs="Arial"/>
        </w:rPr>
        <w:t>that</w:t>
      </w:r>
      <w:r w:rsidRPr="007262BA">
        <w:rPr>
          <w:rFonts w:ascii="Arial" w:hAnsi="Arial" w:cs="Arial"/>
        </w:rPr>
        <w:t xml:space="preserve"> </w:t>
      </w:r>
      <w:r w:rsidR="00E51FC7" w:rsidRPr="007262BA">
        <w:rPr>
          <w:rFonts w:ascii="Arial" w:hAnsi="Arial" w:cs="Arial"/>
        </w:rPr>
        <w:t xml:space="preserve">embeds </w:t>
      </w:r>
      <w:r w:rsidRPr="007262BA">
        <w:rPr>
          <w:rFonts w:ascii="Arial" w:hAnsi="Arial" w:cs="Arial"/>
        </w:rPr>
        <w:t xml:space="preserve">patients and the public, and privacy-protecting data access mechanisms, neuroradiological research can prevent individuals </w:t>
      </w:r>
      <w:r w:rsidR="00E51FC7" w:rsidRPr="007262BA">
        <w:rPr>
          <w:rFonts w:ascii="Arial" w:hAnsi="Arial" w:cs="Arial"/>
        </w:rPr>
        <w:t xml:space="preserve">from </w:t>
      </w:r>
      <w:r w:rsidRPr="007262BA">
        <w:rPr>
          <w:rFonts w:ascii="Arial" w:hAnsi="Arial" w:cs="Arial"/>
        </w:rPr>
        <w:t>having to make decisions between their privacy and another patient’s future. This</w:t>
      </w:r>
      <w:r w:rsidR="00E51FC7" w:rsidRPr="007262BA">
        <w:rPr>
          <w:rFonts w:ascii="Arial" w:hAnsi="Arial" w:cs="Arial"/>
        </w:rPr>
        <w:t xml:space="preserve"> trust is earned through stewardship, not just legislation. </w:t>
      </w:r>
    </w:p>
    <w:p w14:paraId="76A91FBE" w14:textId="77777777" w:rsidR="003032AE" w:rsidRPr="007262BA" w:rsidRDefault="003032AE" w:rsidP="007262BA">
      <w:pPr>
        <w:spacing w:line="360" w:lineRule="auto"/>
        <w:rPr>
          <w:rFonts w:ascii="Arial" w:hAnsi="Arial" w:cs="Arial"/>
        </w:rPr>
      </w:pPr>
    </w:p>
    <w:p w14:paraId="4719A237" w14:textId="77777777" w:rsidR="003032AE" w:rsidRPr="007262BA" w:rsidRDefault="003032AE" w:rsidP="007262BA">
      <w:pPr>
        <w:spacing w:line="360" w:lineRule="auto"/>
        <w:rPr>
          <w:rFonts w:ascii="Arial" w:hAnsi="Arial" w:cs="Arial"/>
        </w:rPr>
      </w:pPr>
    </w:p>
    <w:p w14:paraId="7C227CF7" w14:textId="77777777" w:rsidR="003032AE" w:rsidRPr="007262BA" w:rsidRDefault="003032AE" w:rsidP="007262BA">
      <w:pPr>
        <w:spacing w:line="360" w:lineRule="auto"/>
        <w:rPr>
          <w:rFonts w:ascii="Arial" w:hAnsi="Arial" w:cs="Arial"/>
        </w:rPr>
      </w:pPr>
    </w:p>
    <w:p w14:paraId="56FD518F" w14:textId="77777777" w:rsidR="003032AE" w:rsidRDefault="003032AE" w:rsidP="007262BA">
      <w:pPr>
        <w:spacing w:line="360" w:lineRule="auto"/>
        <w:rPr>
          <w:rFonts w:ascii="Arial" w:hAnsi="Arial" w:cs="Arial"/>
        </w:rPr>
      </w:pPr>
    </w:p>
    <w:p w14:paraId="08D4CCFD" w14:textId="77777777" w:rsidR="001A6559" w:rsidRPr="007262BA" w:rsidRDefault="001A6559" w:rsidP="007262BA">
      <w:pPr>
        <w:spacing w:line="360" w:lineRule="auto"/>
        <w:rPr>
          <w:rFonts w:ascii="Arial" w:hAnsi="Arial" w:cs="Arial"/>
        </w:rPr>
      </w:pPr>
    </w:p>
    <w:p w14:paraId="4F924744" w14:textId="77777777" w:rsidR="003032AE" w:rsidRPr="007262BA" w:rsidRDefault="003032AE" w:rsidP="007262BA">
      <w:pPr>
        <w:spacing w:line="360" w:lineRule="auto"/>
        <w:rPr>
          <w:rFonts w:ascii="Arial" w:hAnsi="Arial" w:cs="Arial"/>
        </w:rPr>
      </w:pPr>
    </w:p>
    <w:p w14:paraId="4C5B8F18" w14:textId="77777777" w:rsidR="00205C69" w:rsidRPr="007262BA" w:rsidRDefault="00205C69" w:rsidP="007262BA">
      <w:pPr>
        <w:spacing w:line="360" w:lineRule="auto"/>
        <w:rPr>
          <w:rFonts w:ascii="Arial" w:hAnsi="Arial" w:cs="Arial"/>
        </w:rPr>
      </w:pPr>
    </w:p>
    <w:p w14:paraId="7AB6F5B2" w14:textId="0A28519D" w:rsidR="00DA56D1" w:rsidRPr="007262BA" w:rsidRDefault="00205C69" w:rsidP="007262BA">
      <w:pPr>
        <w:spacing w:line="360" w:lineRule="auto"/>
        <w:rPr>
          <w:rFonts w:ascii="Arial" w:hAnsi="Arial" w:cs="Arial"/>
          <w:b/>
          <w:bCs/>
        </w:rPr>
      </w:pPr>
      <w:r w:rsidRPr="007262BA">
        <w:rPr>
          <w:rFonts w:ascii="Arial" w:hAnsi="Arial" w:cs="Arial"/>
          <w:b/>
          <w:bCs/>
        </w:rPr>
        <w:lastRenderedPageBreak/>
        <w:t>References</w:t>
      </w:r>
    </w:p>
    <w:p w14:paraId="7E5060D8" w14:textId="77777777" w:rsidR="00046BA6" w:rsidRPr="007262BA" w:rsidRDefault="00046BA6" w:rsidP="007262BA">
      <w:pPr>
        <w:spacing w:line="360" w:lineRule="auto"/>
        <w:rPr>
          <w:rFonts w:ascii="Arial" w:hAnsi="Arial" w:cs="Arial"/>
          <w:b/>
          <w:bCs/>
        </w:rPr>
      </w:pPr>
    </w:p>
    <w:p w14:paraId="05E2C872" w14:textId="68307083" w:rsidR="00046BA6" w:rsidRPr="007262BA" w:rsidRDefault="00046BA6" w:rsidP="007262BA">
      <w:pPr>
        <w:spacing w:line="360" w:lineRule="auto"/>
        <w:rPr>
          <w:rFonts w:ascii="Arial" w:hAnsi="Arial" w:cs="Arial"/>
        </w:rPr>
      </w:pPr>
      <w:r w:rsidRPr="007262BA">
        <w:rPr>
          <w:rFonts w:ascii="Arial" w:hAnsi="Arial" w:cs="Arial"/>
        </w:rPr>
        <w:t xml:space="preserve">Carter, P, Laurie, GT and Dixon-Woods, M (2015) The social licence for research: why </w:t>
      </w:r>
      <w:proofErr w:type="spellStart"/>
      <w:r w:rsidRPr="007262BA">
        <w:rPr>
          <w:rFonts w:ascii="Arial" w:hAnsi="Arial" w:cs="Arial"/>
        </w:rPr>
        <w:t>care.data</w:t>
      </w:r>
      <w:proofErr w:type="spellEnd"/>
      <w:r w:rsidRPr="007262BA">
        <w:rPr>
          <w:rFonts w:ascii="Arial" w:hAnsi="Arial" w:cs="Arial"/>
        </w:rPr>
        <w:t xml:space="preserve"> ran into trouble. </w:t>
      </w:r>
      <w:r w:rsidRPr="007262BA">
        <w:rPr>
          <w:rFonts w:ascii="Arial" w:hAnsi="Arial" w:cs="Arial"/>
          <w:i/>
          <w:iCs/>
        </w:rPr>
        <w:t>Journal of Medical Ethics</w:t>
      </w:r>
      <w:r w:rsidRPr="007262BA">
        <w:rPr>
          <w:rFonts w:ascii="Arial" w:hAnsi="Arial" w:cs="Arial"/>
        </w:rPr>
        <w:t xml:space="preserve">, 41(5), pp.404-409. Available from: </w:t>
      </w:r>
      <w:hyperlink r:id="rId5" w:history="1">
        <w:r w:rsidRPr="007262BA">
          <w:rPr>
            <w:rStyle w:val="Hyperlink"/>
            <w:rFonts w:ascii="Arial" w:hAnsi="Arial" w:cs="Arial"/>
          </w:rPr>
          <w:t>doi:10.1136/medethics-2014-102374</w:t>
        </w:r>
      </w:hyperlink>
    </w:p>
    <w:p w14:paraId="1D7B1CA2" w14:textId="77777777" w:rsidR="001D0065" w:rsidRPr="007262BA" w:rsidRDefault="001D0065" w:rsidP="007262BA">
      <w:pPr>
        <w:spacing w:line="360" w:lineRule="auto"/>
        <w:rPr>
          <w:rFonts w:ascii="Arial" w:hAnsi="Arial" w:cs="Arial"/>
          <w:b/>
          <w:bCs/>
        </w:rPr>
      </w:pPr>
    </w:p>
    <w:p w14:paraId="67447CC0" w14:textId="27971900" w:rsidR="00797E26" w:rsidRPr="007262BA" w:rsidRDefault="00797E26" w:rsidP="007262BA">
      <w:pPr>
        <w:spacing w:line="360" w:lineRule="auto"/>
        <w:rPr>
          <w:rFonts w:ascii="Arial" w:hAnsi="Arial" w:cs="Arial"/>
        </w:rPr>
      </w:pPr>
      <w:r w:rsidRPr="007262BA">
        <w:rPr>
          <w:rFonts w:ascii="Arial" w:hAnsi="Arial" w:cs="Arial"/>
        </w:rPr>
        <w:t xml:space="preserve">Data (Use and Access) Act 2025, c. 18. Available from: </w:t>
      </w:r>
      <w:hyperlink r:id="rId6" w:history="1">
        <w:r w:rsidRPr="007262BA">
          <w:rPr>
            <w:rStyle w:val="Hyperlink"/>
            <w:rFonts w:ascii="Arial" w:hAnsi="Arial" w:cs="Arial"/>
          </w:rPr>
          <w:t>https://www.legislation.gov.uk/ukpga/2025/18/enacted</w:t>
        </w:r>
      </w:hyperlink>
      <w:r w:rsidRPr="007262BA">
        <w:rPr>
          <w:rFonts w:ascii="Arial" w:hAnsi="Arial" w:cs="Arial"/>
        </w:rPr>
        <w:t xml:space="preserve"> (Accessed: 20 August 2026).</w:t>
      </w:r>
    </w:p>
    <w:p w14:paraId="06E118A2" w14:textId="3C896EAC" w:rsidR="00797E26" w:rsidRPr="007262BA" w:rsidRDefault="00DA56D1" w:rsidP="007262BA">
      <w:pPr>
        <w:spacing w:line="360" w:lineRule="auto"/>
        <w:rPr>
          <w:rFonts w:ascii="Arial" w:hAnsi="Arial" w:cs="Arial"/>
        </w:rPr>
      </w:pPr>
      <w:r w:rsidRPr="007262BA">
        <w:rPr>
          <w:rFonts w:ascii="Arial" w:hAnsi="Arial" w:cs="Arial"/>
        </w:rPr>
        <w:t>Eke D, Aasebø IEJ, Akintoye S, et al. (202</w:t>
      </w:r>
      <w:r w:rsidR="00DA24A3" w:rsidRPr="007262BA">
        <w:rPr>
          <w:rFonts w:ascii="Arial" w:hAnsi="Arial" w:cs="Arial"/>
        </w:rPr>
        <w:t xml:space="preserve">1) </w:t>
      </w:r>
      <w:r w:rsidRPr="007262BA">
        <w:rPr>
          <w:rFonts w:ascii="Arial" w:hAnsi="Arial" w:cs="Arial"/>
        </w:rPr>
        <w:t xml:space="preserve">Pseudonymisation of neuroimages and data protection: Increasing access to data while retaining scientific utility. </w:t>
      </w:r>
      <w:r w:rsidRPr="007262BA">
        <w:rPr>
          <w:rFonts w:ascii="Arial" w:hAnsi="Arial" w:cs="Arial"/>
          <w:i/>
          <w:iCs/>
        </w:rPr>
        <w:t>Neuroimage</w:t>
      </w:r>
      <w:r w:rsidR="00DA24A3" w:rsidRPr="007262BA">
        <w:rPr>
          <w:rFonts w:ascii="Arial" w:hAnsi="Arial" w:cs="Arial"/>
          <w:i/>
          <w:iCs/>
        </w:rPr>
        <w:t>:</w:t>
      </w:r>
      <w:r w:rsidRPr="007262BA">
        <w:rPr>
          <w:rFonts w:ascii="Arial" w:hAnsi="Arial" w:cs="Arial"/>
          <w:i/>
          <w:iCs/>
        </w:rPr>
        <w:t xml:space="preserve"> Rep</w:t>
      </w:r>
      <w:r w:rsidR="00DA24A3" w:rsidRPr="007262BA">
        <w:rPr>
          <w:rFonts w:ascii="Arial" w:hAnsi="Arial" w:cs="Arial"/>
          <w:i/>
          <w:iCs/>
        </w:rPr>
        <w:t>orts</w:t>
      </w:r>
      <w:r w:rsidR="00DA24A3" w:rsidRPr="007262BA">
        <w:rPr>
          <w:rFonts w:ascii="Arial" w:hAnsi="Arial" w:cs="Arial"/>
        </w:rPr>
        <w:t xml:space="preserve">, 1(4), 100053. Available from </w:t>
      </w:r>
      <w:proofErr w:type="gramStart"/>
      <w:r w:rsidRPr="007262BA">
        <w:rPr>
          <w:rFonts w:ascii="Arial" w:hAnsi="Arial" w:cs="Arial"/>
        </w:rPr>
        <w:t>doi:10.1016/j.ynirp</w:t>
      </w:r>
      <w:proofErr w:type="gramEnd"/>
      <w:r w:rsidRPr="007262BA">
        <w:rPr>
          <w:rFonts w:ascii="Arial" w:hAnsi="Arial" w:cs="Arial"/>
        </w:rPr>
        <w:t>.2021.100053</w:t>
      </w:r>
    </w:p>
    <w:p w14:paraId="5641453A" w14:textId="77777777" w:rsidR="002301C7" w:rsidRPr="007262BA" w:rsidRDefault="002301C7" w:rsidP="007262BA">
      <w:pPr>
        <w:spacing w:line="360" w:lineRule="auto"/>
        <w:rPr>
          <w:rFonts w:ascii="Arial" w:hAnsi="Arial" w:cs="Arial"/>
        </w:rPr>
      </w:pPr>
    </w:p>
    <w:p w14:paraId="099AB799" w14:textId="2BFA3095" w:rsidR="002900D9" w:rsidRPr="007262BA" w:rsidRDefault="002900D9" w:rsidP="007262BA">
      <w:pPr>
        <w:spacing w:line="360" w:lineRule="auto"/>
        <w:rPr>
          <w:rFonts w:ascii="Arial" w:hAnsi="Arial" w:cs="Arial"/>
        </w:rPr>
      </w:pPr>
      <w:r w:rsidRPr="007262BA">
        <w:rPr>
          <w:rFonts w:ascii="Arial" w:hAnsi="Arial" w:cs="Arial"/>
        </w:rPr>
        <w:t xml:space="preserve">Hassan, L. (2020) Consensus Statement on Public Involvement and Engagement with Data-Intensive Health Research, </w:t>
      </w:r>
      <w:r w:rsidRPr="007262BA">
        <w:rPr>
          <w:rFonts w:ascii="Arial" w:hAnsi="Arial" w:cs="Arial"/>
          <w:i/>
          <w:iCs/>
        </w:rPr>
        <w:t>International Journal of Population Data Science</w:t>
      </w:r>
      <w:r w:rsidRPr="007262BA">
        <w:rPr>
          <w:rFonts w:ascii="Arial" w:hAnsi="Arial" w:cs="Arial"/>
        </w:rPr>
        <w:t>, 4(1). Available from doi:10.23889/</w:t>
      </w:r>
      <w:proofErr w:type="gramStart"/>
      <w:r w:rsidRPr="007262BA">
        <w:rPr>
          <w:rFonts w:ascii="Arial" w:hAnsi="Arial" w:cs="Arial"/>
        </w:rPr>
        <w:t>ijpds.v</w:t>
      </w:r>
      <w:proofErr w:type="gramEnd"/>
      <w:r w:rsidRPr="007262BA">
        <w:rPr>
          <w:rFonts w:ascii="Arial" w:hAnsi="Arial" w:cs="Arial"/>
        </w:rPr>
        <w:t>4i1.586.</w:t>
      </w:r>
    </w:p>
    <w:p w14:paraId="60A965A6" w14:textId="77777777" w:rsidR="002900D9" w:rsidRPr="007262BA" w:rsidRDefault="002900D9" w:rsidP="007262BA">
      <w:pPr>
        <w:spacing w:line="360" w:lineRule="auto"/>
        <w:rPr>
          <w:rFonts w:ascii="Arial" w:hAnsi="Arial" w:cs="Arial"/>
        </w:rPr>
      </w:pPr>
    </w:p>
    <w:p w14:paraId="4200A6D6" w14:textId="3D56713D" w:rsidR="002301C7" w:rsidRPr="007262BA" w:rsidRDefault="002301C7" w:rsidP="007262BA">
      <w:pPr>
        <w:spacing w:line="360" w:lineRule="auto"/>
        <w:rPr>
          <w:rFonts w:ascii="Arial" w:hAnsi="Arial" w:cs="Arial"/>
        </w:rPr>
      </w:pPr>
      <w:r w:rsidRPr="007262BA">
        <w:rPr>
          <w:rFonts w:ascii="Arial" w:hAnsi="Arial" w:cs="Arial"/>
        </w:rPr>
        <w:t xml:space="preserve">Health Research Authority (HRA) (2018) </w:t>
      </w:r>
      <w:r w:rsidRPr="007262BA">
        <w:rPr>
          <w:rFonts w:ascii="Arial" w:hAnsi="Arial" w:cs="Arial"/>
          <w:i/>
          <w:iCs/>
        </w:rPr>
        <w:t>Consent in research</w:t>
      </w:r>
      <w:r w:rsidRPr="007262BA">
        <w:rPr>
          <w:rFonts w:ascii="Arial" w:hAnsi="Arial" w:cs="Arial"/>
        </w:rPr>
        <w:t xml:space="preserve">. Available from: </w:t>
      </w:r>
      <w:hyperlink r:id="rId7" w:history="1">
        <w:r w:rsidR="00992692" w:rsidRPr="007262BA">
          <w:rPr>
            <w:rStyle w:val="Hyperlink"/>
            <w:rFonts w:ascii="Arial" w:hAnsi="Arial" w:cs="Arial"/>
          </w:rPr>
          <w:t>https://www.hra.nhs.uk/planning-and-improving-research/policies-standards-legislation/data-protection-and-information-governance/gdpr-guidance/what-law-says/consent-research/</w:t>
        </w:r>
      </w:hyperlink>
      <w:r w:rsidR="00992692" w:rsidRPr="007262BA">
        <w:rPr>
          <w:rFonts w:ascii="Arial" w:hAnsi="Arial" w:cs="Arial"/>
        </w:rPr>
        <w:t xml:space="preserve"> </w:t>
      </w:r>
      <w:r w:rsidRPr="007262BA">
        <w:rPr>
          <w:rFonts w:ascii="Arial" w:hAnsi="Arial" w:cs="Arial"/>
        </w:rPr>
        <w:t>(Accessed: 20 August 2026).</w:t>
      </w:r>
    </w:p>
    <w:p w14:paraId="0A38D99A" w14:textId="77777777" w:rsidR="002301C7" w:rsidRPr="007262BA" w:rsidRDefault="002301C7" w:rsidP="007262BA">
      <w:pPr>
        <w:spacing w:line="360" w:lineRule="auto"/>
        <w:rPr>
          <w:rFonts w:ascii="Arial" w:hAnsi="Arial" w:cs="Arial"/>
        </w:rPr>
      </w:pPr>
    </w:p>
    <w:p w14:paraId="7C0D3312" w14:textId="1681B787" w:rsidR="00992692" w:rsidRPr="007262BA" w:rsidRDefault="00992692" w:rsidP="007262BA">
      <w:pPr>
        <w:spacing w:line="360" w:lineRule="auto"/>
        <w:rPr>
          <w:rFonts w:ascii="Arial" w:hAnsi="Arial" w:cs="Arial"/>
        </w:rPr>
      </w:pPr>
      <w:r w:rsidRPr="007262BA">
        <w:rPr>
          <w:rFonts w:ascii="Arial" w:hAnsi="Arial" w:cs="Arial"/>
        </w:rPr>
        <w:t xml:space="preserve">Health Research Authority (HRA) (2022) </w:t>
      </w:r>
      <w:r w:rsidRPr="007262BA">
        <w:rPr>
          <w:rFonts w:ascii="Arial" w:hAnsi="Arial" w:cs="Arial"/>
          <w:i/>
          <w:iCs/>
        </w:rPr>
        <w:t>Types of health and care information and the legal frameworks protecting them</w:t>
      </w:r>
      <w:r w:rsidRPr="007262BA">
        <w:rPr>
          <w:rFonts w:ascii="Arial" w:hAnsi="Arial" w:cs="Arial"/>
        </w:rPr>
        <w:t xml:space="preserve">. Available from: https://www.hra.nhs.uk/planning-and-improving-research/research-planning/how-were-supporting-data-driven-technology/overview-legal-requirements-using-health-and-care-data-development-and-deployment-data-driven-technologies/2-types-health-and-care-information-and-legal-frameworks-protecting-them/ (Accessed: 20 August 2026). </w:t>
      </w:r>
    </w:p>
    <w:p w14:paraId="4E26A951" w14:textId="77777777" w:rsidR="003C5879" w:rsidRPr="007262BA" w:rsidRDefault="003C5879" w:rsidP="007262BA">
      <w:pPr>
        <w:spacing w:line="360" w:lineRule="auto"/>
        <w:rPr>
          <w:rFonts w:ascii="Arial" w:hAnsi="Arial" w:cs="Arial"/>
        </w:rPr>
      </w:pPr>
    </w:p>
    <w:p w14:paraId="156513D6" w14:textId="59A84735" w:rsidR="003C5879" w:rsidRPr="007262BA" w:rsidRDefault="003C5879" w:rsidP="007262BA">
      <w:pPr>
        <w:spacing w:line="360" w:lineRule="auto"/>
        <w:rPr>
          <w:rFonts w:ascii="Arial" w:hAnsi="Arial" w:cs="Arial"/>
        </w:rPr>
      </w:pPr>
      <w:r w:rsidRPr="007262BA">
        <w:rPr>
          <w:rFonts w:ascii="Arial" w:hAnsi="Arial" w:cs="Arial"/>
        </w:rPr>
        <w:t xml:space="preserve">Health Research Authority (HRA) (2026) </w:t>
      </w:r>
      <w:r w:rsidRPr="007262BA">
        <w:rPr>
          <w:rFonts w:ascii="Arial" w:hAnsi="Arial" w:cs="Arial"/>
          <w:i/>
          <w:iCs/>
        </w:rPr>
        <w:t>Mental Capacity Act</w:t>
      </w:r>
      <w:r w:rsidRPr="007262BA">
        <w:rPr>
          <w:rFonts w:ascii="Arial" w:hAnsi="Arial" w:cs="Arial"/>
        </w:rPr>
        <w:t xml:space="preserve">. Available from: </w:t>
      </w:r>
      <w:bookmarkStart w:id="1" w:name="OLE_LINK4"/>
      <w:r w:rsidRPr="007262BA">
        <w:rPr>
          <w:rFonts w:ascii="Arial" w:hAnsi="Arial" w:cs="Arial"/>
        </w:rPr>
        <w:t xml:space="preserve">https://www.hra.nhs.uk/planning-and-improving-research/policies-standards-legislation/mental-capacity-act/ </w:t>
      </w:r>
      <w:bookmarkEnd w:id="1"/>
      <w:r w:rsidRPr="007262BA">
        <w:rPr>
          <w:rFonts w:ascii="Arial" w:hAnsi="Arial" w:cs="Arial"/>
        </w:rPr>
        <w:t>(Accessed: 20 August 2026).</w:t>
      </w:r>
    </w:p>
    <w:p w14:paraId="2F271785" w14:textId="77777777" w:rsidR="00797E26" w:rsidRPr="007262BA" w:rsidRDefault="00797E26" w:rsidP="007262BA">
      <w:pPr>
        <w:spacing w:line="360" w:lineRule="auto"/>
        <w:rPr>
          <w:rFonts w:ascii="Arial" w:hAnsi="Arial" w:cs="Arial"/>
        </w:rPr>
      </w:pPr>
    </w:p>
    <w:p w14:paraId="03B151C7" w14:textId="77777777" w:rsidR="00E51FC7" w:rsidRPr="007262BA" w:rsidRDefault="00E51FC7" w:rsidP="007262BA">
      <w:pPr>
        <w:spacing w:line="360" w:lineRule="auto"/>
        <w:rPr>
          <w:rFonts w:ascii="Arial" w:hAnsi="Arial" w:cs="Arial"/>
        </w:rPr>
      </w:pPr>
      <w:r w:rsidRPr="007262BA">
        <w:rPr>
          <w:rFonts w:ascii="Arial" w:hAnsi="Arial" w:cs="Arial"/>
        </w:rPr>
        <w:lastRenderedPageBreak/>
        <w:t xml:space="preserve">Jones, MC, Stone, T, Mason, SM, et al. (2023) Navigating data governance associated with real-world data for public benefit: an overview in the UK and future considerations. </w:t>
      </w:r>
      <w:r w:rsidRPr="007262BA">
        <w:rPr>
          <w:rFonts w:ascii="Arial" w:hAnsi="Arial" w:cs="Arial"/>
          <w:i/>
          <w:iCs/>
        </w:rPr>
        <w:t>BMJ Open</w:t>
      </w:r>
      <w:r w:rsidRPr="007262BA">
        <w:rPr>
          <w:rFonts w:ascii="Arial" w:hAnsi="Arial" w:cs="Arial"/>
        </w:rPr>
        <w:t>, 13(10), e069925. Available from: doi:10.1136/bmjopen-2022-069925</w:t>
      </w:r>
    </w:p>
    <w:p w14:paraId="3B108454" w14:textId="77777777" w:rsidR="00E51FC7" w:rsidRPr="007262BA" w:rsidRDefault="00E51FC7" w:rsidP="007262BA">
      <w:pPr>
        <w:spacing w:line="360" w:lineRule="auto"/>
        <w:rPr>
          <w:rFonts w:ascii="Arial" w:hAnsi="Arial" w:cs="Arial"/>
        </w:rPr>
      </w:pPr>
    </w:p>
    <w:p w14:paraId="15109055" w14:textId="471A51C4" w:rsidR="007A31D9" w:rsidRPr="007262BA" w:rsidRDefault="00E51FC7" w:rsidP="007262BA">
      <w:pPr>
        <w:spacing w:line="360" w:lineRule="auto"/>
        <w:rPr>
          <w:rFonts w:ascii="Arial" w:hAnsi="Arial" w:cs="Arial"/>
        </w:rPr>
      </w:pPr>
      <w:proofErr w:type="spellStart"/>
      <w:r w:rsidRPr="007262BA">
        <w:rPr>
          <w:rFonts w:ascii="Arial" w:hAnsi="Arial" w:cs="Arial"/>
        </w:rPr>
        <w:t>Kaissis</w:t>
      </w:r>
      <w:proofErr w:type="spellEnd"/>
      <w:r w:rsidRPr="007262BA">
        <w:rPr>
          <w:rFonts w:ascii="Arial" w:hAnsi="Arial" w:cs="Arial"/>
        </w:rPr>
        <w:t xml:space="preserve">, GA, Makowski, MR, Rückert, D and Braren, RF (2020) Secure, privacy-preserving and federated machine learning in medical imaging, </w:t>
      </w:r>
      <w:r w:rsidRPr="007262BA">
        <w:rPr>
          <w:rFonts w:ascii="Arial" w:hAnsi="Arial" w:cs="Arial"/>
          <w:i/>
          <w:iCs/>
        </w:rPr>
        <w:t>Nature Machine Intelligence</w:t>
      </w:r>
      <w:r w:rsidRPr="007262BA">
        <w:rPr>
          <w:rFonts w:ascii="Arial" w:hAnsi="Arial" w:cs="Arial"/>
        </w:rPr>
        <w:t>, 2(6), pp.305-311. Available from: 10.1038/s42256-020-0186-1</w:t>
      </w:r>
    </w:p>
    <w:p w14:paraId="7B1AB9C8" w14:textId="77777777" w:rsidR="00E51FC7" w:rsidRPr="007262BA" w:rsidRDefault="00E51FC7" w:rsidP="007262BA">
      <w:pPr>
        <w:spacing w:line="360" w:lineRule="auto"/>
        <w:rPr>
          <w:rFonts w:ascii="Arial" w:hAnsi="Arial" w:cs="Arial"/>
        </w:rPr>
      </w:pPr>
    </w:p>
    <w:p w14:paraId="455D700C" w14:textId="16A9E31F" w:rsidR="00E20AE7" w:rsidRPr="007262BA" w:rsidRDefault="00E20AE7" w:rsidP="007262BA">
      <w:pPr>
        <w:spacing w:line="360" w:lineRule="auto"/>
        <w:rPr>
          <w:rFonts w:ascii="Arial" w:hAnsi="Arial" w:cs="Arial"/>
        </w:rPr>
      </w:pPr>
      <w:r w:rsidRPr="007262BA">
        <w:rPr>
          <w:rFonts w:ascii="Arial" w:hAnsi="Arial" w:cs="Arial"/>
        </w:rPr>
        <w:t xml:space="preserve">Kalkman, S, van Delden, J, Banerjee, A, et al. (2022) Patients’ and public views and attitudes towards the sharing of health data for research: a narrative review of the empirical evidence. </w:t>
      </w:r>
      <w:r w:rsidRPr="007262BA">
        <w:rPr>
          <w:rFonts w:ascii="Arial" w:hAnsi="Arial" w:cs="Arial"/>
          <w:i/>
          <w:iCs/>
        </w:rPr>
        <w:t>Journal of Medical Ethics</w:t>
      </w:r>
      <w:r w:rsidRPr="007262BA">
        <w:rPr>
          <w:rFonts w:ascii="Arial" w:hAnsi="Arial" w:cs="Arial"/>
        </w:rPr>
        <w:t>, 48(1), pp.3-13. Available from: doi:10.1136/medethics-2019-105651</w:t>
      </w:r>
    </w:p>
    <w:p w14:paraId="409AEB97" w14:textId="77777777" w:rsidR="00E51FC7" w:rsidRPr="007262BA" w:rsidRDefault="00E51FC7" w:rsidP="007262BA">
      <w:pPr>
        <w:spacing w:line="360" w:lineRule="auto"/>
        <w:rPr>
          <w:rFonts w:ascii="Arial" w:hAnsi="Arial" w:cs="Arial"/>
        </w:rPr>
      </w:pPr>
    </w:p>
    <w:p w14:paraId="62789355" w14:textId="77777777" w:rsidR="00E51FC7" w:rsidRPr="007262BA" w:rsidRDefault="00E51FC7" w:rsidP="007262BA">
      <w:pPr>
        <w:spacing w:line="360" w:lineRule="auto"/>
        <w:rPr>
          <w:rFonts w:ascii="Arial" w:hAnsi="Arial" w:cs="Arial"/>
        </w:rPr>
      </w:pPr>
      <w:r w:rsidRPr="007262BA">
        <w:rPr>
          <w:rFonts w:ascii="Arial" w:hAnsi="Arial" w:cs="Arial"/>
        </w:rPr>
        <w:t xml:space="preserve">Kaye, J, Whitley, EA, Lund, D et al. (2015) Dynamic consent: a patient interface for twenty-first century research networks, </w:t>
      </w:r>
      <w:r w:rsidRPr="007262BA">
        <w:rPr>
          <w:rFonts w:ascii="Arial" w:hAnsi="Arial" w:cs="Arial"/>
          <w:i/>
          <w:iCs/>
        </w:rPr>
        <w:t>European Journal of Human Genetics</w:t>
      </w:r>
      <w:r w:rsidRPr="007262BA">
        <w:rPr>
          <w:rFonts w:ascii="Arial" w:hAnsi="Arial" w:cs="Arial"/>
        </w:rPr>
        <w:t>, 23(2), pp.141-146. Available from: doi:10.1038/ejhg.2014.71</w:t>
      </w:r>
    </w:p>
    <w:p w14:paraId="2984B09F" w14:textId="77777777" w:rsidR="00E51FC7" w:rsidRPr="007262BA" w:rsidRDefault="00E51FC7" w:rsidP="007262BA">
      <w:pPr>
        <w:spacing w:line="360" w:lineRule="auto"/>
        <w:rPr>
          <w:rFonts w:ascii="Arial" w:hAnsi="Arial" w:cs="Arial"/>
        </w:rPr>
      </w:pPr>
    </w:p>
    <w:p w14:paraId="1D6B3BF6" w14:textId="77777777" w:rsidR="00E20AE7" w:rsidRPr="007262BA" w:rsidRDefault="00E20AE7" w:rsidP="007262BA">
      <w:pPr>
        <w:spacing w:line="360" w:lineRule="auto"/>
        <w:rPr>
          <w:rFonts w:ascii="Arial" w:hAnsi="Arial" w:cs="Arial"/>
        </w:rPr>
      </w:pPr>
    </w:p>
    <w:p w14:paraId="4F2303B7" w14:textId="51EF5811" w:rsidR="006A5F4E" w:rsidRPr="007262BA" w:rsidRDefault="006A5F4E" w:rsidP="007262BA">
      <w:pPr>
        <w:spacing w:line="360" w:lineRule="auto"/>
        <w:rPr>
          <w:rFonts w:ascii="Arial" w:hAnsi="Arial" w:cs="Arial"/>
        </w:rPr>
      </w:pPr>
      <w:r w:rsidRPr="007262BA">
        <w:rPr>
          <w:rFonts w:ascii="Arial" w:hAnsi="Arial" w:cs="Arial"/>
        </w:rPr>
        <w:t xml:space="preserve">NHS England (2023) </w:t>
      </w:r>
      <w:r w:rsidRPr="007262BA">
        <w:rPr>
          <w:rFonts w:ascii="Arial" w:hAnsi="Arial" w:cs="Arial"/>
          <w:i/>
          <w:iCs/>
        </w:rPr>
        <w:t>Understanding the national data opt-out</w:t>
      </w:r>
      <w:r w:rsidRPr="007262BA">
        <w:rPr>
          <w:rFonts w:ascii="Arial" w:hAnsi="Arial" w:cs="Arial"/>
        </w:rPr>
        <w:t>. Available from: https://digital.nhs.uk/services/national-data-opt-out/understanding-the-national-data-opt-out (Accessed: 20 August 2026).</w:t>
      </w:r>
    </w:p>
    <w:p w14:paraId="36A79A37" w14:textId="77777777" w:rsidR="00E16100" w:rsidRPr="007262BA" w:rsidRDefault="00E16100" w:rsidP="007262BA">
      <w:pPr>
        <w:spacing w:line="360" w:lineRule="auto"/>
        <w:rPr>
          <w:rFonts w:ascii="Arial" w:hAnsi="Arial" w:cs="Arial"/>
        </w:rPr>
      </w:pPr>
    </w:p>
    <w:p w14:paraId="1E617C49" w14:textId="15EB0D2D" w:rsidR="00E16100" w:rsidRPr="007262BA" w:rsidRDefault="00E16100" w:rsidP="007262BA">
      <w:pPr>
        <w:spacing w:line="360" w:lineRule="auto"/>
        <w:rPr>
          <w:rFonts w:ascii="Arial" w:hAnsi="Arial" w:cs="Arial"/>
        </w:rPr>
      </w:pPr>
      <w:r w:rsidRPr="007262BA">
        <w:rPr>
          <w:rFonts w:ascii="Arial" w:hAnsi="Arial" w:cs="Arial"/>
        </w:rPr>
        <w:t xml:space="preserve">Larrazabal, AJ, Nieto, N, Peterson, et al. (2020) Gender imbalance in medical imaging datasets produces biased classifiers for computer-aided diagnosis. </w:t>
      </w:r>
      <w:r w:rsidRPr="007262BA">
        <w:rPr>
          <w:rStyle w:val="Emphasis"/>
          <w:rFonts w:ascii="Arial" w:hAnsi="Arial" w:cs="Arial"/>
        </w:rPr>
        <w:t>Proceedings of the National Academy of Sciences</w:t>
      </w:r>
      <w:r w:rsidRPr="007262BA">
        <w:rPr>
          <w:rFonts w:ascii="Arial" w:hAnsi="Arial" w:cs="Arial"/>
        </w:rPr>
        <w:t>, 117(23), pp.12592-12594. Available from: doi</w:t>
      </w:r>
      <w:hyperlink r:id="rId8" w:tgtFrame="_new" w:history="1">
        <w:r w:rsidRPr="007262BA">
          <w:rPr>
            <w:rStyle w:val="Hyperlink"/>
            <w:rFonts w:ascii="Arial" w:hAnsi="Arial" w:cs="Arial"/>
          </w:rPr>
          <w:t>:10.1073/pnas.1919012117</w:t>
        </w:r>
      </w:hyperlink>
    </w:p>
    <w:p w14:paraId="01247AB8" w14:textId="77777777" w:rsidR="002301C7" w:rsidRPr="007262BA" w:rsidRDefault="002301C7" w:rsidP="007262BA">
      <w:pPr>
        <w:spacing w:line="360" w:lineRule="auto"/>
        <w:rPr>
          <w:rFonts w:ascii="Arial" w:hAnsi="Arial" w:cs="Arial"/>
        </w:rPr>
      </w:pPr>
    </w:p>
    <w:p w14:paraId="4BBADD1A" w14:textId="05BB68F1" w:rsidR="007A147A" w:rsidRDefault="00AB43C3" w:rsidP="007262BA">
      <w:pPr>
        <w:spacing w:line="360" w:lineRule="auto"/>
        <w:rPr>
          <w:rFonts w:ascii="Arial" w:hAnsi="Arial" w:cs="Arial"/>
        </w:rPr>
      </w:pPr>
      <w:r w:rsidRPr="007262BA">
        <w:rPr>
          <w:rFonts w:ascii="Arial" w:hAnsi="Arial" w:cs="Arial"/>
        </w:rPr>
        <w:t xml:space="preserve">Rocher, L, Hendrickx, JM and de </w:t>
      </w:r>
      <w:proofErr w:type="spellStart"/>
      <w:r w:rsidRPr="007262BA">
        <w:rPr>
          <w:rFonts w:ascii="Arial" w:hAnsi="Arial" w:cs="Arial"/>
        </w:rPr>
        <w:t>Montjoye</w:t>
      </w:r>
      <w:proofErr w:type="spellEnd"/>
      <w:r w:rsidRPr="007262BA">
        <w:rPr>
          <w:rFonts w:ascii="Arial" w:hAnsi="Arial" w:cs="Arial"/>
        </w:rPr>
        <w:t xml:space="preserve">, YA (2019) Estimating the success of re-identifications in incomplete datasets using generative models. </w:t>
      </w:r>
      <w:r w:rsidRPr="007262BA">
        <w:rPr>
          <w:rFonts w:ascii="Arial" w:hAnsi="Arial" w:cs="Arial"/>
          <w:i/>
          <w:iCs/>
        </w:rPr>
        <w:t>Nature Communications</w:t>
      </w:r>
      <w:r w:rsidRPr="007262BA">
        <w:rPr>
          <w:rFonts w:ascii="Arial" w:hAnsi="Arial" w:cs="Arial"/>
        </w:rPr>
        <w:t>, 10(1), pp.3069. Available from: doi:10.1038/s41467-019-10933-3</w:t>
      </w:r>
    </w:p>
    <w:p w14:paraId="30771F4D" w14:textId="77777777" w:rsidR="00C64AA6" w:rsidRPr="00C64AA6" w:rsidRDefault="00C64AA6" w:rsidP="007262BA">
      <w:pPr>
        <w:spacing w:line="360" w:lineRule="auto"/>
        <w:rPr>
          <w:rFonts w:ascii="Arial" w:hAnsi="Arial" w:cs="Arial"/>
        </w:rPr>
      </w:pPr>
    </w:p>
    <w:p w14:paraId="3AC3A60E" w14:textId="3DF0C964" w:rsidR="007A147A" w:rsidRPr="007262BA" w:rsidRDefault="007A147A" w:rsidP="007262BA">
      <w:pPr>
        <w:spacing w:line="360" w:lineRule="auto"/>
        <w:rPr>
          <w:rFonts w:ascii="Arial" w:hAnsi="Arial" w:cs="Arial"/>
        </w:rPr>
      </w:pPr>
      <w:r w:rsidRPr="007262BA">
        <w:rPr>
          <w:rFonts w:ascii="Arial" w:hAnsi="Arial" w:cs="Arial"/>
        </w:rPr>
        <w:lastRenderedPageBreak/>
        <w:t xml:space="preserve">Sant MM, Bajada CJ (2025), Processing neuroimaging data for research purposes: Open Science, FAIR data, and the GDPR. </w:t>
      </w:r>
      <w:r w:rsidRPr="007262BA">
        <w:rPr>
          <w:rFonts w:ascii="Arial" w:hAnsi="Arial" w:cs="Arial"/>
          <w:i/>
          <w:iCs/>
        </w:rPr>
        <w:t>International Data Privacy Law</w:t>
      </w:r>
      <w:r w:rsidRPr="007262BA">
        <w:rPr>
          <w:rFonts w:ascii="Arial" w:hAnsi="Arial" w:cs="Arial"/>
        </w:rPr>
        <w:t>, 15(3), pp.194-212. Available from: doi:10.1093/idpl/ipaf020</w:t>
      </w:r>
    </w:p>
    <w:p w14:paraId="3706AF79" w14:textId="77777777" w:rsidR="00205C69" w:rsidRPr="007262BA" w:rsidRDefault="00205C69" w:rsidP="007262BA">
      <w:pPr>
        <w:spacing w:line="360" w:lineRule="auto"/>
        <w:rPr>
          <w:rFonts w:ascii="Arial" w:hAnsi="Arial" w:cs="Arial"/>
        </w:rPr>
      </w:pPr>
    </w:p>
    <w:p w14:paraId="42B0DED3" w14:textId="4CD2C0A0" w:rsidR="00205C69" w:rsidRPr="007262BA" w:rsidRDefault="00DA76EF" w:rsidP="007262BA">
      <w:pPr>
        <w:spacing w:line="360" w:lineRule="auto"/>
        <w:rPr>
          <w:rFonts w:ascii="Arial" w:hAnsi="Arial" w:cs="Arial"/>
        </w:rPr>
      </w:pPr>
      <w:r w:rsidRPr="007262BA">
        <w:rPr>
          <w:rFonts w:ascii="Arial" w:hAnsi="Arial" w:cs="Arial"/>
        </w:rPr>
        <w:t>Schwarz CG, Kremers WK, Therneau TM</w:t>
      </w:r>
      <w:r w:rsidR="007A147A" w:rsidRPr="007262BA">
        <w:rPr>
          <w:rFonts w:ascii="Arial" w:hAnsi="Arial" w:cs="Arial"/>
        </w:rPr>
        <w:t>, et al</w:t>
      </w:r>
      <w:r w:rsidRPr="007262BA">
        <w:rPr>
          <w:rFonts w:ascii="Arial" w:hAnsi="Arial" w:cs="Arial"/>
        </w:rPr>
        <w:t>.</w:t>
      </w:r>
      <w:r w:rsidR="007A147A" w:rsidRPr="007262BA">
        <w:rPr>
          <w:rFonts w:ascii="Arial" w:hAnsi="Arial" w:cs="Arial"/>
        </w:rPr>
        <w:t xml:space="preserve"> (2019)</w:t>
      </w:r>
      <w:r w:rsidRPr="007262BA">
        <w:rPr>
          <w:rFonts w:ascii="Arial" w:hAnsi="Arial" w:cs="Arial"/>
        </w:rPr>
        <w:t xml:space="preserve"> Identification of Anonymous MRI Research Participants with Face-Recognition Software. </w:t>
      </w:r>
      <w:r w:rsidRPr="007262BA">
        <w:rPr>
          <w:rFonts w:ascii="Arial" w:hAnsi="Arial" w:cs="Arial"/>
          <w:i/>
          <w:iCs/>
        </w:rPr>
        <w:t>N</w:t>
      </w:r>
      <w:r w:rsidR="007A147A" w:rsidRPr="007262BA">
        <w:rPr>
          <w:rFonts w:ascii="Arial" w:hAnsi="Arial" w:cs="Arial"/>
          <w:i/>
          <w:iCs/>
        </w:rPr>
        <w:t>ew</w:t>
      </w:r>
      <w:r w:rsidRPr="007262BA">
        <w:rPr>
          <w:rFonts w:ascii="Arial" w:hAnsi="Arial" w:cs="Arial"/>
          <w:i/>
          <w:iCs/>
        </w:rPr>
        <w:t xml:space="preserve"> Engl</w:t>
      </w:r>
      <w:r w:rsidR="007A147A" w:rsidRPr="007262BA">
        <w:rPr>
          <w:rFonts w:ascii="Arial" w:hAnsi="Arial" w:cs="Arial"/>
          <w:i/>
          <w:iCs/>
        </w:rPr>
        <w:t>and</w:t>
      </w:r>
      <w:r w:rsidRPr="007262BA">
        <w:rPr>
          <w:rFonts w:ascii="Arial" w:hAnsi="Arial" w:cs="Arial"/>
          <w:i/>
          <w:iCs/>
        </w:rPr>
        <w:t xml:space="preserve"> J</w:t>
      </w:r>
      <w:r w:rsidR="007A147A" w:rsidRPr="007262BA">
        <w:rPr>
          <w:rFonts w:ascii="Arial" w:hAnsi="Arial" w:cs="Arial"/>
          <w:i/>
          <w:iCs/>
        </w:rPr>
        <w:t>ournal of</w:t>
      </w:r>
      <w:r w:rsidRPr="007262BA">
        <w:rPr>
          <w:rFonts w:ascii="Arial" w:hAnsi="Arial" w:cs="Arial"/>
          <w:i/>
          <w:iCs/>
        </w:rPr>
        <w:t xml:space="preserve"> Med</w:t>
      </w:r>
      <w:r w:rsidR="007A147A" w:rsidRPr="007262BA">
        <w:rPr>
          <w:rFonts w:ascii="Arial" w:hAnsi="Arial" w:cs="Arial"/>
          <w:i/>
          <w:iCs/>
        </w:rPr>
        <w:t>icine</w:t>
      </w:r>
      <w:r w:rsidR="007A147A" w:rsidRPr="007262BA">
        <w:rPr>
          <w:rFonts w:ascii="Arial" w:hAnsi="Arial" w:cs="Arial"/>
        </w:rPr>
        <w:t>,</w:t>
      </w:r>
      <w:r w:rsidRPr="007262BA">
        <w:rPr>
          <w:rFonts w:ascii="Arial" w:hAnsi="Arial" w:cs="Arial"/>
        </w:rPr>
        <w:t xml:space="preserve"> 381(17)</w:t>
      </w:r>
      <w:r w:rsidR="007A147A" w:rsidRPr="007262BA">
        <w:rPr>
          <w:rFonts w:ascii="Arial" w:hAnsi="Arial" w:cs="Arial"/>
        </w:rPr>
        <w:t>, pp.</w:t>
      </w:r>
      <w:r w:rsidRPr="007262BA">
        <w:rPr>
          <w:rFonts w:ascii="Arial" w:hAnsi="Arial" w:cs="Arial"/>
        </w:rPr>
        <w:t xml:space="preserve">1684-1686. </w:t>
      </w:r>
      <w:r w:rsidR="007A147A" w:rsidRPr="007262BA">
        <w:rPr>
          <w:rFonts w:ascii="Arial" w:hAnsi="Arial" w:cs="Arial"/>
        </w:rPr>
        <w:t xml:space="preserve">Available from: </w:t>
      </w:r>
      <w:r w:rsidRPr="007262BA">
        <w:rPr>
          <w:rFonts w:ascii="Arial" w:hAnsi="Arial" w:cs="Arial"/>
        </w:rPr>
        <w:t xml:space="preserve">doi:10.1056/NEJMc1908881. </w:t>
      </w:r>
    </w:p>
    <w:p w14:paraId="3BB27931" w14:textId="77777777" w:rsidR="00AB43C3" w:rsidRPr="007262BA" w:rsidRDefault="00AB43C3" w:rsidP="007262BA">
      <w:pPr>
        <w:spacing w:line="360" w:lineRule="auto"/>
        <w:rPr>
          <w:rFonts w:ascii="Arial" w:hAnsi="Arial" w:cs="Arial"/>
        </w:rPr>
      </w:pPr>
    </w:p>
    <w:p w14:paraId="5CB79172" w14:textId="69CE9EDC" w:rsidR="007A31D9" w:rsidRPr="007262BA" w:rsidRDefault="007A31D9" w:rsidP="007262BA">
      <w:pPr>
        <w:spacing w:line="360" w:lineRule="auto"/>
        <w:rPr>
          <w:rFonts w:ascii="Arial" w:hAnsi="Arial" w:cs="Arial"/>
        </w:rPr>
      </w:pPr>
      <w:r w:rsidRPr="007262BA">
        <w:rPr>
          <w:rFonts w:ascii="Arial" w:hAnsi="Arial" w:cs="Arial"/>
        </w:rPr>
        <w:t xml:space="preserve">Teare, HJA, </w:t>
      </w:r>
      <w:proofErr w:type="spellStart"/>
      <w:r w:rsidRPr="007262BA">
        <w:rPr>
          <w:rFonts w:ascii="Arial" w:hAnsi="Arial" w:cs="Arial"/>
        </w:rPr>
        <w:t>Prictor</w:t>
      </w:r>
      <w:proofErr w:type="spellEnd"/>
      <w:r w:rsidRPr="007262BA">
        <w:rPr>
          <w:rFonts w:ascii="Arial" w:hAnsi="Arial" w:cs="Arial"/>
        </w:rPr>
        <w:t xml:space="preserve">, M and Kaye, J (2021) Reflections on dynamic consent in biomedical research: the story so far. </w:t>
      </w:r>
      <w:r w:rsidRPr="007262BA">
        <w:rPr>
          <w:rFonts w:ascii="Arial" w:hAnsi="Arial" w:cs="Arial"/>
          <w:i/>
          <w:iCs/>
        </w:rPr>
        <w:t>European Journal of Human Genetics</w:t>
      </w:r>
      <w:r w:rsidRPr="007262BA">
        <w:rPr>
          <w:rFonts w:ascii="Arial" w:hAnsi="Arial" w:cs="Arial"/>
        </w:rPr>
        <w:t>, 29, pp.649-656. Available from: doi:10.1038/s41431-020-00771-z</w:t>
      </w:r>
    </w:p>
    <w:p w14:paraId="186E4E2F" w14:textId="77777777" w:rsidR="00E51FC7" w:rsidRPr="007262BA" w:rsidRDefault="00E51FC7" w:rsidP="007262BA">
      <w:pPr>
        <w:spacing w:line="360" w:lineRule="auto"/>
        <w:rPr>
          <w:rFonts w:ascii="Arial" w:hAnsi="Arial" w:cs="Arial"/>
        </w:rPr>
      </w:pPr>
    </w:p>
    <w:p w14:paraId="313D052E" w14:textId="2FC04D3C" w:rsidR="00E51FC7" w:rsidRPr="007262BA" w:rsidRDefault="00E51FC7" w:rsidP="007262BA">
      <w:pPr>
        <w:spacing w:line="360" w:lineRule="auto"/>
        <w:rPr>
          <w:rFonts w:ascii="Arial" w:hAnsi="Arial" w:cs="Arial"/>
        </w:rPr>
      </w:pPr>
      <w:r w:rsidRPr="007262BA">
        <w:rPr>
          <w:rFonts w:ascii="Arial" w:hAnsi="Arial" w:cs="Arial"/>
        </w:rPr>
        <w:t>UK Data Service (n.d.) What is the Five Safes framework? Available from: https://ukdataservice.ac.uk/help/secure-lab/what-is-the-five-safes-framework/ (Accessed: 20 August 2026).</w:t>
      </w:r>
    </w:p>
    <w:p w14:paraId="1FFCE5A7" w14:textId="77777777" w:rsidR="007A31D9" w:rsidRPr="007262BA" w:rsidRDefault="007A31D9" w:rsidP="007262BA">
      <w:pPr>
        <w:spacing w:line="360" w:lineRule="auto"/>
        <w:rPr>
          <w:rFonts w:ascii="Arial" w:hAnsi="Arial" w:cs="Arial"/>
        </w:rPr>
      </w:pPr>
    </w:p>
    <w:p w14:paraId="5A5F7170" w14:textId="62CE6203" w:rsidR="00AB43C3" w:rsidRPr="007262BA" w:rsidRDefault="00C72100" w:rsidP="007262BA">
      <w:pPr>
        <w:spacing w:line="360" w:lineRule="auto"/>
        <w:rPr>
          <w:rFonts w:ascii="Arial" w:hAnsi="Arial" w:cs="Arial"/>
        </w:rPr>
      </w:pPr>
      <w:r w:rsidRPr="007262BA">
        <w:rPr>
          <w:rFonts w:ascii="Arial" w:hAnsi="Arial" w:cs="Arial"/>
        </w:rPr>
        <w:t xml:space="preserve">Wilkinson, MD, Dumontier, M, </w:t>
      </w:r>
      <w:proofErr w:type="spellStart"/>
      <w:r w:rsidRPr="007262BA">
        <w:rPr>
          <w:rFonts w:ascii="Arial" w:hAnsi="Arial" w:cs="Arial"/>
        </w:rPr>
        <w:t>Aalbersberg</w:t>
      </w:r>
      <w:proofErr w:type="spellEnd"/>
      <w:r w:rsidRPr="007262BA">
        <w:rPr>
          <w:rFonts w:ascii="Arial" w:hAnsi="Arial" w:cs="Arial"/>
        </w:rPr>
        <w:t xml:space="preserve">, IJ et al. (2016) The FAIR Guiding Principles for scientific data management and stewardship. </w:t>
      </w:r>
      <w:r w:rsidRPr="007262BA">
        <w:rPr>
          <w:rFonts w:ascii="Arial" w:hAnsi="Arial" w:cs="Arial"/>
          <w:i/>
          <w:iCs/>
        </w:rPr>
        <w:t>Scientific Data</w:t>
      </w:r>
      <w:r w:rsidRPr="007262BA">
        <w:rPr>
          <w:rFonts w:ascii="Arial" w:hAnsi="Arial" w:cs="Arial"/>
        </w:rPr>
        <w:t>, 3(160018). Available from: doi:10.1038/sdata.2016.18</w:t>
      </w:r>
    </w:p>
    <w:p w14:paraId="1A14D58E" w14:textId="77777777" w:rsidR="00357228" w:rsidRPr="007262BA" w:rsidRDefault="00357228" w:rsidP="007262BA">
      <w:pPr>
        <w:tabs>
          <w:tab w:val="left" w:pos="2958"/>
        </w:tabs>
        <w:spacing w:line="360" w:lineRule="auto"/>
        <w:rPr>
          <w:rFonts w:ascii="Arial" w:hAnsi="Arial" w:cs="Arial"/>
        </w:rPr>
      </w:pPr>
    </w:p>
    <w:sectPr w:rsidR="00357228" w:rsidRPr="007262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AB3C3D"/>
    <w:multiLevelType w:val="hybridMultilevel"/>
    <w:tmpl w:val="4ECA1940"/>
    <w:lvl w:ilvl="0" w:tplc="2730DFC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6F39F4"/>
    <w:multiLevelType w:val="hybridMultilevel"/>
    <w:tmpl w:val="A48877CE"/>
    <w:lvl w:ilvl="0" w:tplc="2730DFC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E07AAE"/>
    <w:multiLevelType w:val="hybridMultilevel"/>
    <w:tmpl w:val="9AA2C826"/>
    <w:lvl w:ilvl="0" w:tplc="2730DFCE">
      <w:start w:val="5"/>
      <w:numFmt w:val="bullet"/>
      <w:lvlText w:val=""/>
      <w:lvlJc w:val="left"/>
      <w:pPr>
        <w:ind w:left="720" w:hanging="360"/>
      </w:pPr>
      <w:rPr>
        <w:rFonts w:ascii="Symbol" w:eastAsiaTheme="minorHAnsi" w:hAnsi="Symbol" w:cstheme="min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0619660">
    <w:abstractNumId w:val="1"/>
  </w:num>
  <w:num w:numId="2" w16cid:durableId="473260833">
    <w:abstractNumId w:val="0"/>
  </w:num>
  <w:num w:numId="3" w16cid:durableId="163421329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A6D"/>
    <w:rsid w:val="00004F1D"/>
    <w:rsid w:val="00046BA6"/>
    <w:rsid w:val="00063031"/>
    <w:rsid w:val="000A3764"/>
    <w:rsid w:val="001042E2"/>
    <w:rsid w:val="00127931"/>
    <w:rsid w:val="001A6559"/>
    <w:rsid w:val="001D0065"/>
    <w:rsid w:val="001F3D6B"/>
    <w:rsid w:val="00205C69"/>
    <w:rsid w:val="002301C7"/>
    <w:rsid w:val="002900D9"/>
    <w:rsid w:val="003032AE"/>
    <w:rsid w:val="00356AF3"/>
    <w:rsid w:val="00357228"/>
    <w:rsid w:val="003C5879"/>
    <w:rsid w:val="00401FFB"/>
    <w:rsid w:val="004E5406"/>
    <w:rsid w:val="00575157"/>
    <w:rsid w:val="006A5F4E"/>
    <w:rsid w:val="006B3718"/>
    <w:rsid w:val="006C435D"/>
    <w:rsid w:val="006F6131"/>
    <w:rsid w:val="007262BA"/>
    <w:rsid w:val="0079354D"/>
    <w:rsid w:val="00797E26"/>
    <w:rsid w:val="007A147A"/>
    <w:rsid w:val="007A31D9"/>
    <w:rsid w:val="00817431"/>
    <w:rsid w:val="0081792F"/>
    <w:rsid w:val="0095264F"/>
    <w:rsid w:val="00992692"/>
    <w:rsid w:val="00A03A6D"/>
    <w:rsid w:val="00A14A88"/>
    <w:rsid w:val="00A827DE"/>
    <w:rsid w:val="00AB43C3"/>
    <w:rsid w:val="00AF606D"/>
    <w:rsid w:val="00B0023A"/>
    <w:rsid w:val="00B27C9C"/>
    <w:rsid w:val="00B337C7"/>
    <w:rsid w:val="00B51FB3"/>
    <w:rsid w:val="00BA18A5"/>
    <w:rsid w:val="00C22C5E"/>
    <w:rsid w:val="00C35B35"/>
    <w:rsid w:val="00C60B51"/>
    <w:rsid w:val="00C64AA6"/>
    <w:rsid w:val="00C72100"/>
    <w:rsid w:val="00D65BD6"/>
    <w:rsid w:val="00DA1986"/>
    <w:rsid w:val="00DA24A3"/>
    <w:rsid w:val="00DA56D1"/>
    <w:rsid w:val="00DA76EF"/>
    <w:rsid w:val="00DE1289"/>
    <w:rsid w:val="00DE6909"/>
    <w:rsid w:val="00E16100"/>
    <w:rsid w:val="00E20AE7"/>
    <w:rsid w:val="00E3627A"/>
    <w:rsid w:val="00E51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F65F4B"/>
  <w15:chartTrackingRefBased/>
  <w15:docId w15:val="{C5A4807A-AC58-164D-8325-FF081631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B35"/>
  </w:style>
  <w:style w:type="paragraph" w:styleId="Heading1">
    <w:name w:val="heading 1"/>
    <w:basedOn w:val="Normal"/>
    <w:next w:val="Normal"/>
    <w:link w:val="Heading1Char"/>
    <w:uiPriority w:val="9"/>
    <w:qFormat/>
    <w:rsid w:val="00A03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A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A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A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A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A6D"/>
    <w:rPr>
      <w:rFonts w:eastAsiaTheme="majorEastAsia" w:cstheme="majorBidi"/>
      <w:color w:val="272727" w:themeColor="text1" w:themeTint="D8"/>
    </w:rPr>
  </w:style>
  <w:style w:type="paragraph" w:styleId="Title">
    <w:name w:val="Title"/>
    <w:basedOn w:val="Normal"/>
    <w:next w:val="Normal"/>
    <w:link w:val="TitleChar"/>
    <w:uiPriority w:val="10"/>
    <w:qFormat/>
    <w:rsid w:val="00A03A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A6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A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A6D"/>
    <w:rPr>
      <w:i/>
      <w:iCs/>
      <w:color w:val="404040" w:themeColor="text1" w:themeTint="BF"/>
    </w:rPr>
  </w:style>
  <w:style w:type="paragraph" w:styleId="ListParagraph">
    <w:name w:val="List Paragraph"/>
    <w:basedOn w:val="Normal"/>
    <w:uiPriority w:val="34"/>
    <w:qFormat/>
    <w:rsid w:val="00A03A6D"/>
    <w:pPr>
      <w:ind w:left="720"/>
      <w:contextualSpacing/>
    </w:pPr>
  </w:style>
  <w:style w:type="character" w:styleId="IntenseEmphasis">
    <w:name w:val="Intense Emphasis"/>
    <w:basedOn w:val="DefaultParagraphFont"/>
    <w:uiPriority w:val="21"/>
    <w:qFormat/>
    <w:rsid w:val="00A03A6D"/>
    <w:rPr>
      <w:i/>
      <w:iCs/>
      <w:color w:val="0F4761" w:themeColor="accent1" w:themeShade="BF"/>
    </w:rPr>
  </w:style>
  <w:style w:type="paragraph" w:styleId="IntenseQuote">
    <w:name w:val="Intense Quote"/>
    <w:basedOn w:val="Normal"/>
    <w:next w:val="Normal"/>
    <w:link w:val="IntenseQuoteChar"/>
    <w:uiPriority w:val="30"/>
    <w:qFormat/>
    <w:rsid w:val="00A03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A6D"/>
    <w:rPr>
      <w:i/>
      <w:iCs/>
      <w:color w:val="0F4761" w:themeColor="accent1" w:themeShade="BF"/>
    </w:rPr>
  </w:style>
  <w:style w:type="character" w:styleId="IntenseReference">
    <w:name w:val="Intense Reference"/>
    <w:basedOn w:val="DefaultParagraphFont"/>
    <w:uiPriority w:val="32"/>
    <w:qFormat/>
    <w:rsid w:val="00A03A6D"/>
    <w:rPr>
      <w:b/>
      <w:bCs/>
      <w:smallCaps/>
      <w:color w:val="0F4761" w:themeColor="accent1" w:themeShade="BF"/>
      <w:spacing w:val="5"/>
    </w:rPr>
  </w:style>
  <w:style w:type="character" w:styleId="Hyperlink">
    <w:name w:val="Hyperlink"/>
    <w:basedOn w:val="DefaultParagraphFont"/>
    <w:uiPriority w:val="99"/>
    <w:unhideWhenUsed/>
    <w:rsid w:val="00992692"/>
    <w:rPr>
      <w:color w:val="467886" w:themeColor="hyperlink"/>
      <w:u w:val="single"/>
    </w:rPr>
  </w:style>
  <w:style w:type="character" w:styleId="UnresolvedMention">
    <w:name w:val="Unresolved Mention"/>
    <w:basedOn w:val="DefaultParagraphFont"/>
    <w:uiPriority w:val="99"/>
    <w:semiHidden/>
    <w:unhideWhenUsed/>
    <w:rsid w:val="00992692"/>
    <w:rPr>
      <w:color w:val="605E5C"/>
      <w:shd w:val="clear" w:color="auto" w:fill="E1DFDD"/>
    </w:rPr>
  </w:style>
  <w:style w:type="character" w:styleId="FollowedHyperlink">
    <w:name w:val="FollowedHyperlink"/>
    <w:basedOn w:val="DefaultParagraphFont"/>
    <w:uiPriority w:val="99"/>
    <w:semiHidden/>
    <w:unhideWhenUsed/>
    <w:rsid w:val="001D0065"/>
    <w:rPr>
      <w:color w:val="96607D" w:themeColor="followedHyperlink"/>
      <w:u w:val="single"/>
    </w:rPr>
  </w:style>
  <w:style w:type="character" w:styleId="Emphasis">
    <w:name w:val="Emphasis"/>
    <w:basedOn w:val="DefaultParagraphFont"/>
    <w:uiPriority w:val="20"/>
    <w:qFormat/>
    <w:rsid w:val="00E161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73/pnas.1919012117" TargetMode="External"/><Relationship Id="rId3" Type="http://schemas.openxmlformats.org/officeDocument/2006/relationships/settings" Target="settings.xml"/><Relationship Id="rId7" Type="http://schemas.openxmlformats.org/officeDocument/2006/relationships/hyperlink" Target="https://www.hra.nhs.uk/planning-and-improving-research/policies-standards-legislation/data-protection-and-information-governance/gdpr-guidance/what-law-says/consent-resea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uk/ukpga/2025/18/enacted" TargetMode="External"/><Relationship Id="rId5" Type="http://schemas.openxmlformats.org/officeDocument/2006/relationships/hyperlink" Target="https://doi.org/10.1136/medethics-2014-10237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8</Pages>
  <Words>2330</Words>
  <Characters>13284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Cotton, Daniele Thomas</dc:creator>
  <cp:keywords/>
  <dc:description/>
  <cp:lastModifiedBy>Cotton, Daniele Thomas</cp:lastModifiedBy>
  <cp:revision>25</cp:revision>
  <dcterms:created xsi:type="dcterms:W3CDTF">2026-08-30T09:47:00Z</dcterms:created>
  <dcterms:modified xsi:type="dcterms:W3CDTF">2026-08-30T15:58:00Z</dcterms:modified>
</cp:coreProperties>
</file>