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33B24" w14:textId="77777777" w:rsidR="003C13F3" w:rsidRPr="00192677" w:rsidRDefault="003C13F3" w:rsidP="00DD74B9">
      <w:pPr>
        <w:spacing w:after="24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br/>
      </w:r>
    </w:p>
    <w:p w14:paraId="230CB981" w14:textId="77777777" w:rsidR="0064331A" w:rsidRDefault="0064331A" w:rsidP="00DD74B9">
      <w:pPr>
        <w:spacing w:before="360" w:after="280" w:line="360" w:lineRule="auto"/>
        <w:jc w:val="center"/>
        <w:rPr>
          <w:rFonts w:ascii="Arial" w:eastAsia="Times New Roman" w:hAnsi="Arial" w:cs="Arial"/>
          <w:b/>
          <w:bCs/>
          <w:color w:val="000000"/>
          <w:kern w:val="0"/>
          <w:sz w:val="22"/>
          <w:szCs w:val="22"/>
          <w:lang w:eastAsia="en-GB"/>
          <w14:ligatures w14:val="none"/>
        </w:rPr>
      </w:pPr>
    </w:p>
    <w:p w14:paraId="28D23505" w14:textId="77777777" w:rsidR="0064331A" w:rsidRDefault="0064331A" w:rsidP="00DD74B9">
      <w:pPr>
        <w:spacing w:before="360" w:after="280" w:line="360" w:lineRule="auto"/>
        <w:jc w:val="center"/>
        <w:rPr>
          <w:rFonts w:ascii="Arial" w:eastAsia="Times New Roman" w:hAnsi="Arial" w:cs="Arial"/>
          <w:b/>
          <w:bCs/>
          <w:color w:val="000000"/>
          <w:kern w:val="0"/>
          <w:sz w:val="22"/>
          <w:szCs w:val="22"/>
          <w:lang w:eastAsia="en-GB"/>
          <w14:ligatures w14:val="none"/>
        </w:rPr>
      </w:pPr>
    </w:p>
    <w:p w14:paraId="39055E3A" w14:textId="77777777" w:rsidR="0064331A" w:rsidRDefault="0064331A" w:rsidP="00DD74B9">
      <w:pPr>
        <w:spacing w:before="360" w:after="280" w:line="360" w:lineRule="auto"/>
        <w:jc w:val="center"/>
        <w:rPr>
          <w:rFonts w:ascii="Arial" w:eastAsia="Times New Roman" w:hAnsi="Arial" w:cs="Arial"/>
          <w:b/>
          <w:bCs/>
          <w:color w:val="000000"/>
          <w:kern w:val="0"/>
          <w:sz w:val="22"/>
          <w:szCs w:val="22"/>
          <w:lang w:eastAsia="en-GB"/>
          <w14:ligatures w14:val="none"/>
        </w:rPr>
      </w:pPr>
    </w:p>
    <w:p w14:paraId="00F67983" w14:textId="77777777" w:rsidR="0064331A" w:rsidRDefault="0064331A" w:rsidP="00DD74B9">
      <w:pPr>
        <w:spacing w:before="360" w:after="280" w:line="360" w:lineRule="auto"/>
        <w:jc w:val="center"/>
        <w:rPr>
          <w:rFonts w:ascii="Arial" w:eastAsia="Times New Roman" w:hAnsi="Arial" w:cs="Arial"/>
          <w:b/>
          <w:bCs/>
          <w:color w:val="000000"/>
          <w:kern w:val="0"/>
          <w:sz w:val="22"/>
          <w:szCs w:val="22"/>
          <w:lang w:eastAsia="en-GB"/>
          <w14:ligatures w14:val="none"/>
        </w:rPr>
      </w:pPr>
    </w:p>
    <w:p w14:paraId="4DE79AB6" w14:textId="77777777" w:rsidR="0064331A" w:rsidRDefault="0064331A" w:rsidP="00DD74B9">
      <w:pPr>
        <w:spacing w:before="360" w:after="280" w:line="360" w:lineRule="auto"/>
        <w:jc w:val="center"/>
        <w:rPr>
          <w:rFonts w:ascii="Arial" w:eastAsia="Times New Roman" w:hAnsi="Arial" w:cs="Arial"/>
          <w:b/>
          <w:bCs/>
          <w:color w:val="000000"/>
          <w:kern w:val="0"/>
          <w:sz w:val="22"/>
          <w:szCs w:val="22"/>
          <w:lang w:eastAsia="en-GB"/>
          <w14:ligatures w14:val="none"/>
        </w:rPr>
      </w:pPr>
    </w:p>
    <w:p w14:paraId="41D09617" w14:textId="547CAC37" w:rsidR="003C13F3" w:rsidRPr="00192677" w:rsidRDefault="003C13F3" w:rsidP="00DD74B9">
      <w:pPr>
        <w:spacing w:before="360" w:after="280" w:line="360" w:lineRule="auto"/>
        <w:jc w:val="center"/>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Data, Consent, and the Public Good: Governance Challenges in Neuroradiological Research Engagement</w:t>
      </w:r>
    </w:p>
    <w:p w14:paraId="7A1ACB2A" w14:textId="77777777" w:rsidR="003C13F3" w:rsidRPr="00192677" w:rsidRDefault="003C13F3" w:rsidP="00DD74B9">
      <w:pPr>
        <w:spacing w:before="360" w:after="280" w:line="360" w:lineRule="auto"/>
        <w:jc w:val="center"/>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Sadeed Choudhury, GKT School of Medicine, King’s College London - Year 4 MBBS</w:t>
      </w:r>
    </w:p>
    <w:p w14:paraId="70F11027" w14:textId="6942C8D0" w:rsidR="003C13F3" w:rsidRPr="00192677" w:rsidRDefault="003C13F3" w:rsidP="00DD74B9">
      <w:pPr>
        <w:spacing w:before="360" w:after="280" w:line="360" w:lineRule="auto"/>
        <w:jc w:val="center"/>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Word Count:</w:t>
      </w:r>
      <w:r w:rsidR="007A6112" w:rsidRPr="00192677">
        <w:rPr>
          <w:rFonts w:ascii="Arial" w:eastAsia="Times New Roman" w:hAnsi="Arial" w:cs="Arial"/>
          <w:b/>
          <w:bCs/>
          <w:color w:val="000000"/>
          <w:kern w:val="0"/>
          <w:sz w:val="22"/>
          <w:szCs w:val="22"/>
          <w:lang w:eastAsia="en-GB"/>
          <w14:ligatures w14:val="none"/>
        </w:rPr>
        <w:t xml:space="preserve"> 1489</w:t>
      </w:r>
    </w:p>
    <w:p w14:paraId="6B0598C8" w14:textId="77777777" w:rsidR="003C13F3" w:rsidRPr="00192677" w:rsidRDefault="003C13F3" w:rsidP="00DD74B9">
      <w:pPr>
        <w:spacing w:after="24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p>
    <w:p w14:paraId="7DC5B4B2" w14:textId="77777777" w:rsidR="0064331A" w:rsidRDefault="0064331A" w:rsidP="00DD74B9">
      <w:pPr>
        <w:spacing w:after="200" w:line="360" w:lineRule="auto"/>
        <w:rPr>
          <w:rFonts w:ascii="Arial" w:eastAsia="Times New Roman" w:hAnsi="Arial" w:cs="Arial"/>
          <w:color w:val="000000"/>
          <w:kern w:val="0"/>
          <w:sz w:val="22"/>
          <w:szCs w:val="22"/>
          <w:lang w:eastAsia="en-GB"/>
          <w14:ligatures w14:val="none"/>
        </w:rPr>
      </w:pPr>
    </w:p>
    <w:p w14:paraId="50C33128" w14:textId="49272510"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lastRenderedPageBreak/>
        <w:t>A 2011 UK consensus report published by the Royal College of Radiologists asked what the implications were of MR research scans becoming a health screening device [1]. Fifteen years later it remains unanswered, while research imaging continues to find disease in volunteers who never went looking for it. How often that happens depends less on their brains than on which sequences a study acquires and who reads the images.</w:t>
      </w:r>
    </w:p>
    <w:p w14:paraId="6B41B926"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In the first 1,000 UK Biobank imaging participants, two reading protocols ran simultaneously across the same brain, cardiac and abdominal images, with readers blind to each other. A radiologist examining every scan produced potentially serious incidental findings in 179 participants. Relying on radiographers to flag what they noticed while scanning, with radiologist confirmation, produced 18 [2]. The people and pictures were identical, so a tenfold difference in what was flagged came from one decision about who examined them.</w:t>
      </w:r>
    </w:p>
    <w:p w14:paraId="5368DD0A" w14:textId="15D47DF9"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Bunnik and Vernooij named this mechanism a decade ago, writing that incidental findings are ‘the result not of chance, but of choices made … by the researcher, research team and/or institution’ [3]. Nobody then identified who should decide a study’s detection threshold. British research governance asks whether a study has a policy on findings yet never asks how many findings that policy will produce.</w:t>
      </w:r>
    </w:p>
    <w:p w14:paraId="78F4BA98"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Where the number comes from</w:t>
      </w:r>
    </w:p>
    <w:p w14:paraId="5FA763FC" w14:textId="77777777" w:rsidR="003C13F3" w:rsidRPr="00192677" w:rsidRDefault="003C13F3" w:rsidP="00DD74B9">
      <w:pPr>
        <w:spacing w:before="24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Three decisions determine the effective detection threshold of a research scan. They are what is acquired, who reads it and what counts as reportable. Acquisition means sequence selection, field strength, coverage and slice thickness, since T2 and FLAIR images reveal pathology that T1 or functional acquisitions do not. Morris et al., pooling studies of asymptomatic adults, found incidental brain findings in 4.3% of those using at least one high resolution sequence against 1.7% of those using standard resolution, with a number needed to scan of 37 [4]. These are pooled estimates across cohorts differing in age and selection, so the contrast is suggestive rather than causal. A physicist choosing those settings is answering a research question, yet the same choice determines how often unexpected abnormalities are detected.</w:t>
      </w:r>
    </w:p>
    <w:p w14:paraId="33B3A3AC" w14:textId="77777777" w:rsidR="003C13F3" w:rsidRPr="00192677" w:rsidRDefault="003C13F3" w:rsidP="00DD74B9">
      <w:pPr>
        <w:spacing w:before="24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Evidence for the effect of the reading protocol is strongest in UK Biobank, because both approaches were applied to the same scans. Reader seniority is not the operative variable, as Morris et al. found no significant difference between neuroradiologists and general radiologists, at 3.5% against 2.3% with P=0.3 [4]. How many participants get flagged depends not on the reader’s expertise but rather on the protocol governing its use. What counts as reportable is the </w:t>
      </w:r>
      <w:r w:rsidRPr="00192677">
        <w:rPr>
          <w:rFonts w:ascii="Arial" w:eastAsia="Times New Roman" w:hAnsi="Arial" w:cs="Arial"/>
          <w:color w:val="000000"/>
          <w:kern w:val="0"/>
          <w:sz w:val="22"/>
          <w:szCs w:val="22"/>
          <w:lang w:eastAsia="en-GB"/>
          <w14:ligatures w14:val="none"/>
        </w:rPr>
        <w:lastRenderedPageBreak/>
        <w:t>third decision, since a finding only enters the count once a reader judges it as potentially serious.</w:t>
      </w:r>
    </w:p>
    <w:p w14:paraId="0D9AD142"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What each choice costs</w:t>
      </w:r>
    </w:p>
    <w:p w14:paraId="075A874E"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The less intensive protocol missed real disease in real people, since the radiographer arrangement identified 5 of the 21 serious final diagnoses that reading every scan ultimately produced [2]. The reference standard was largely ascertained through the more intensive arm, so neither protocol’s true sensitivity is known and disease missed by both stays invisible. Each protocol sets a different detection </w:t>
      </w:r>
      <w:proofErr w:type="gramStart"/>
      <w:r w:rsidRPr="00192677">
        <w:rPr>
          <w:rFonts w:ascii="Arial" w:eastAsia="Times New Roman" w:hAnsi="Arial" w:cs="Arial"/>
          <w:color w:val="000000"/>
          <w:kern w:val="0"/>
          <w:sz w:val="22"/>
          <w:szCs w:val="22"/>
          <w:lang w:eastAsia="en-GB"/>
          <w14:ligatures w14:val="none"/>
        </w:rPr>
        <w:t>threshold,</w:t>
      </w:r>
      <w:proofErr w:type="gramEnd"/>
      <w:r w:rsidRPr="00192677">
        <w:rPr>
          <w:rFonts w:ascii="Arial" w:eastAsia="Times New Roman" w:hAnsi="Arial" w:cs="Arial"/>
          <w:color w:val="000000"/>
          <w:kern w:val="0"/>
          <w:sz w:val="22"/>
          <w:szCs w:val="22"/>
          <w:lang w:eastAsia="en-GB"/>
          <w14:ligatures w14:val="none"/>
        </w:rPr>
        <w:t xml:space="preserve"> trading disease found against false alarms raised.</w:t>
      </w:r>
    </w:p>
    <w:p w14:paraId="370562E6"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Reading every scan flagged 179 participants to reach those 21 diagnoses, meaning 158 people were told something might be seriously wrong when it was not. Among those with follow-up data, 153 of 170 underwent clinical assessment and 21 of 124 reported an effect on emotional wellbeing [2]. Not all of that is harm, since clinical assessment is a resource consequence rather than an injury.</w:t>
      </w:r>
    </w:p>
    <w:p w14:paraId="64AFE7CC" w14:textId="26B394C3"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Nothing here argues for looking less carefully, since separating a subtle abnormality from normal variation is the specialty’s central skill. Across 16,400 research brain MRI examinations, non-radiologists flagged under 1% of the studies in which neuroradiologists found abnormalities [</w:t>
      </w:r>
      <w:r w:rsidR="007A6112" w:rsidRPr="00192677">
        <w:rPr>
          <w:rFonts w:ascii="Arial" w:eastAsia="Times New Roman" w:hAnsi="Arial" w:cs="Arial"/>
          <w:color w:val="000000"/>
          <w:kern w:val="0"/>
          <w:sz w:val="22"/>
          <w:szCs w:val="22"/>
          <w:lang w:eastAsia="en-GB"/>
          <w14:ligatures w14:val="none"/>
        </w:rPr>
        <w:t>5</w:t>
      </w:r>
      <w:r w:rsidRPr="00192677">
        <w:rPr>
          <w:rFonts w:ascii="Arial" w:eastAsia="Times New Roman" w:hAnsi="Arial" w:cs="Arial"/>
          <w:color w:val="000000"/>
          <w:kern w:val="0"/>
          <w:sz w:val="22"/>
          <w:szCs w:val="22"/>
          <w:lang w:eastAsia="en-GB"/>
          <w14:ligatures w14:val="none"/>
        </w:rPr>
        <w:t>]. What matters is therefore not the reader’s specialty but whether every scan undergoes systematic review. Choosing sequences and readers is methodology until those choices determine which healthy volunteers become patients and contact their GP. The same decisions determine both what data a study collects and which participants it owes a duty of care.</w:t>
      </w:r>
    </w:p>
    <w:p w14:paraId="4B5C5992"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What British governance actually reviews</w:t>
      </w:r>
    </w:p>
    <w:p w14:paraId="30E5156D" w14:textId="20090CF0"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The Health Research Authority does require sponsors to explain their proposals for managing health-related findings and to justify their decision on whether to return them [12]. Wardlaw et al. went further in 2015, asking researchers to acknowledge the frequency of findings likely to be encountered and tell participants what to expect [6]. </w:t>
      </w:r>
    </w:p>
    <w:p w14:paraId="5F73B2D7" w14:textId="6A92B500"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What no instrument does is specify, benchmark or verify the detection threshold a policy implies. The IRAS form and its guidance ask nothing about which sequences will be acquired, who will read the images or how intensively. Nor are ethics committees asked to appraise that threshold, since the policy document governing them states that they are ‘not expected to reconsider the quality of the science of proposed research, as this is the responsibility of the </w:t>
      </w:r>
      <w:r w:rsidRPr="00192677">
        <w:rPr>
          <w:rFonts w:ascii="Arial" w:eastAsia="Times New Roman" w:hAnsi="Arial" w:cs="Arial"/>
          <w:color w:val="000000"/>
          <w:kern w:val="0"/>
          <w:sz w:val="22"/>
          <w:szCs w:val="22"/>
          <w:lang w:eastAsia="en-GB"/>
          <w14:ligatures w14:val="none"/>
        </w:rPr>
        <w:lastRenderedPageBreak/>
        <w:t>sponsor’. They take what they are given ‘on trust’ without ‘any investigation into the veracity of the information’ [</w:t>
      </w:r>
      <w:r w:rsidR="007A6112" w:rsidRPr="00192677">
        <w:rPr>
          <w:rFonts w:ascii="Arial" w:eastAsia="Times New Roman" w:hAnsi="Arial" w:cs="Arial"/>
          <w:color w:val="000000"/>
          <w:kern w:val="0"/>
          <w:sz w:val="22"/>
          <w:szCs w:val="22"/>
          <w:lang w:eastAsia="en-GB"/>
          <w14:ligatures w14:val="none"/>
        </w:rPr>
        <w:t>7</w:t>
      </w:r>
      <w:r w:rsidRPr="00192677">
        <w:rPr>
          <w:rFonts w:ascii="Arial" w:eastAsia="Times New Roman" w:hAnsi="Arial" w:cs="Arial"/>
          <w:color w:val="000000"/>
          <w:kern w:val="0"/>
          <w:sz w:val="22"/>
          <w:szCs w:val="22"/>
          <w:lang w:eastAsia="en-GB"/>
          <w14:ligatures w14:val="none"/>
        </w:rPr>
        <w:t>]. For MRI it is starker, as the ionising radiation regulations that would trigger technical review of acquisition do not apply. Neuroimaging’s dominant modality receives no external appraisal of its acquisition parameters.</w:t>
      </w:r>
    </w:p>
    <w:p w14:paraId="74A0BD71"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This is not a failure by ethics committees, which were never constituted to appraise detection sensitivity, so the gap is structural. A study can clear every stage of approval without anyone asking how many volunteers it will flag.</w:t>
      </w:r>
    </w:p>
    <w:p w14:paraId="55908200"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Who appraised the decision</w:t>
      </w:r>
    </w:p>
    <w:p w14:paraId="23D80DB2"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UK Biobank illustrates the gap precisely because it did everything properly. It held NHS research ethics approval covering its incidental findings procedure, its Ethics and Governance Council endorsed the </w:t>
      </w:r>
      <w:proofErr w:type="gramStart"/>
      <w:r w:rsidRPr="00192677">
        <w:rPr>
          <w:rFonts w:ascii="Arial" w:eastAsia="Times New Roman" w:hAnsi="Arial" w:cs="Arial"/>
          <w:color w:val="000000"/>
          <w:kern w:val="0"/>
          <w:sz w:val="22"/>
          <w:szCs w:val="22"/>
          <w:lang w:eastAsia="en-GB"/>
          <w14:ligatures w14:val="none"/>
        </w:rPr>
        <w:t>design</w:t>
      </w:r>
      <w:proofErr w:type="gramEnd"/>
      <w:r w:rsidRPr="00192677">
        <w:rPr>
          <w:rFonts w:ascii="Arial" w:eastAsia="Times New Roman" w:hAnsi="Arial" w:cs="Arial"/>
          <w:color w:val="000000"/>
          <w:kern w:val="0"/>
          <w:sz w:val="22"/>
          <w:szCs w:val="22"/>
          <w:lang w:eastAsia="en-GB"/>
          <w14:ligatures w14:val="none"/>
        </w:rPr>
        <w:t xml:space="preserve"> and it commissioned deliberative work with the public. It published its reasoning for choosing the less sensitive protocol, which was to avoid unnecessary harm to participants and burden on the health service [2]. The protocol was reviewed by bodies responsible for research ethics rather than by bodies responsible for appraising screening programmes. The investigators stated that they wished to ‘keep separate the concepts of screening programs from protocols for handling [incidental findings] detected during research imaging’ [2]. That distinction is reasonable, but it was drawn by the very people whose protocol was in question.</w:t>
      </w:r>
    </w:p>
    <w:p w14:paraId="32923B62" w14:textId="5AD947EF"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Research imaging is not a screening programme, having no target condition, no screening interval and no call and recall. Cramer et al. observed in 2011 that requiring expert review of all research scans ‘makes this a form of medical screening’, treating that as a reason to avoid universal review [8]. That resemblance is a better argument for judging whichever detection strategy a study adopts against screening standards. That is because a test is applied to asymptomatic people with no clinical indication and the results are acted upon, so at the scale of UK Biobank, those standards apply no matter what the study was designed to answer.</w:t>
      </w:r>
    </w:p>
    <w:p w14:paraId="2EFCF0A6" w14:textId="37963EA5"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The National Screening Committee requires that ‘the distribution of test values in the target population should be known and a suitable cut-off level defined and agreed’ [9]. Research neuroimaging has no agreed detection threshold. An effective one emerges instead from acquisition parameters, the reading protocol and the definition of a reportable finding. The Committee also requires that benefit outweigh harm. A review pooling 32 studies and 27,643 participants found potentially serious incidental findings on 1.4% of brain MRI examinations, </w:t>
      </w:r>
      <w:r w:rsidRPr="00192677">
        <w:rPr>
          <w:rFonts w:ascii="Arial" w:eastAsia="Times New Roman" w:hAnsi="Arial" w:cs="Arial"/>
          <w:color w:val="000000"/>
          <w:kern w:val="0"/>
          <w:sz w:val="22"/>
          <w:szCs w:val="22"/>
          <w:lang w:eastAsia="en-GB"/>
          <w14:ligatures w14:val="none"/>
        </w:rPr>
        <w:lastRenderedPageBreak/>
        <w:t>concluding that ‘little is known of their health consequences’ [10]. Nowhere in that literature is there an estimate of what a more sensitive detection strategy achieves.</w:t>
      </w:r>
    </w:p>
    <w:p w14:paraId="38A8E62C"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t>What should change</w:t>
      </w:r>
    </w:p>
    <w:p w14:paraId="429305F8" w14:textId="77777777"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A protocol should state which sequences will be acquired for detection, who will read the images and what counts as reportable, with the flag rate and positive predictive value those arrangements produced in comparable cohorts. Participant information should carry those numbers, because two studies with identical consent forms can differ several-fold in the chance a volunteer leaves carrying a finding. Wardlaw et al. asked for much of this in 2015, though nothing has required it since. Whether research imaging protocols should be appraised against screening standards is a question for the Royal College of Radiologists and research funders rather than for individual ethics committees.</w:t>
      </w:r>
    </w:p>
    <w:p w14:paraId="1D58C8B9" w14:textId="59A049B5" w:rsidR="003C13F3" w:rsidRPr="00192677" w:rsidRDefault="003C13F3" w:rsidP="00DD74B9">
      <w:pPr>
        <w:spacing w:after="20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Research governance is often framed around participant consent, yet many of the decisions that determine a participant’s experience are made much earlier during protocol design. Choices about image acquisition, reading protocols and reporting criteria determine both what abnormalities a study is likely to </w:t>
      </w:r>
      <w:proofErr w:type="gramStart"/>
      <w:r w:rsidRPr="00192677">
        <w:rPr>
          <w:rFonts w:ascii="Arial" w:eastAsia="Times New Roman" w:hAnsi="Arial" w:cs="Arial"/>
          <w:color w:val="000000"/>
          <w:kern w:val="0"/>
          <w:sz w:val="22"/>
          <w:szCs w:val="22"/>
          <w:lang w:eastAsia="en-GB"/>
          <w14:ligatures w14:val="none"/>
        </w:rPr>
        <w:t>detect</w:t>
      </w:r>
      <w:proofErr w:type="gramEnd"/>
      <w:r w:rsidRPr="00192677">
        <w:rPr>
          <w:rFonts w:ascii="Arial" w:eastAsia="Times New Roman" w:hAnsi="Arial" w:cs="Arial"/>
          <w:color w:val="000000"/>
          <w:kern w:val="0"/>
          <w:sz w:val="22"/>
          <w:szCs w:val="22"/>
          <w:lang w:eastAsia="en-GB"/>
          <w14:ligatures w14:val="none"/>
        </w:rPr>
        <w:t xml:space="preserve"> and the duty of care researchers owe to participants whose abnormalities are detected. Seventeen years ago, Hoggard et al. reported definite significant abnormalities in 46 of 525 healthy volunteers and argued that researchers imaging normal brains require access to trained neuroradiologists, a protocol for managing findings and consent that explains the possibility of an unexpected abnormality [11]. A protocol for managing findings is now required by research governance [12], but consent still tells participants that incidental findings may occur without specifically indicating how likely they are under the detection threshold a study has chosen. Neither the volunteers who agree to be scanned nor the health service that absorbs what those scans find is currently told that figure.</w:t>
      </w:r>
    </w:p>
    <w:p w14:paraId="27199BA7" w14:textId="77777777" w:rsidR="003C13F3" w:rsidRPr="00192677" w:rsidRDefault="003C13F3" w:rsidP="00DD74B9">
      <w:pPr>
        <w:spacing w:after="24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r w:rsidRPr="00192677">
        <w:rPr>
          <w:rFonts w:ascii="Arial" w:eastAsia="Times New Roman" w:hAnsi="Arial" w:cs="Arial"/>
          <w:color w:val="000000"/>
          <w:kern w:val="0"/>
          <w:sz w:val="22"/>
          <w:szCs w:val="22"/>
          <w:lang w:eastAsia="en-GB"/>
          <w14:ligatures w14:val="none"/>
        </w:rPr>
        <w:br/>
      </w:r>
    </w:p>
    <w:p w14:paraId="51513D96" w14:textId="77777777" w:rsidR="003C13F3" w:rsidRPr="00192677" w:rsidRDefault="003C13F3" w:rsidP="00DD74B9">
      <w:pPr>
        <w:spacing w:after="240" w:line="360" w:lineRule="auto"/>
        <w:rPr>
          <w:rFonts w:ascii="Arial" w:eastAsia="Times New Roman" w:hAnsi="Arial" w:cs="Arial"/>
          <w:color w:val="000000"/>
          <w:kern w:val="0"/>
          <w:sz w:val="22"/>
          <w:szCs w:val="22"/>
          <w:lang w:eastAsia="en-GB"/>
          <w14:ligatures w14:val="none"/>
        </w:rPr>
      </w:pPr>
    </w:p>
    <w:p w14:paraId="0C89486C" w14:textId="77777777" w:rsidR="003C13F3" w:rsidRPr="00192677" w:rsidRDefault="003C13F3" w:rsidP="00DD74B9">
      <w:pPr>
        <w:spacing w:after="240" w:line="360" w:lineRule="auto"/>
        <w:rPr>
          <w:rFonts w:ascii="Arial" w:eastAsia="Times New Roman" w:hAnsi="Arial" w:cs="Arial"/>
          <w:color w:val="000000"/>
          <w:kern w:val="0"/>
          <w:sz w:val="22"/>
          <w:szCs w:val="22"/>
          <w:lang w:eastAsia="en-GB"/>
          <w14:ligatures w14:val="none"/>
        </w:rPr>
      </w:pPr>
    </w:p>
    <w:p w14:paraId="5C673538" w14:textId="77777777" w:rsidR="00192677" w:rsidRDefault="00192677" w:rsidP="00DD74B9">
      <w:pPr>
        <w:spacing w:line="360" w:lineRule="auto"/>
        <w:rPr>
          <w:rFonts w:ascii="Arial" w:eastAsia="Times New Roman" w:hAnsi="Arial" w:cs="Arial"/>
          <w:color w:val="000000"/>
          <w:kern w:val="0"/>
          <w:sz w:val="22"/>
          <w:szCs w:val="22"/>
          <w:lang w:eastAsia="en-GB"/>
          <w14:ligatures w14:val="none"/>
        </w:rPr>
      </w:pPr>
    </w:p>
    <w:p w14:paraId="4843C359" w14:textId="5948E432" w:rsidR="003C13F3" w:rsidRPr="00192677" w:rsidRDefault="003C13F3" w:rsidP="00DD74B9">
      <w:pPr>
        <w:spacing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b/>
          <w:bCs/>
          <w:color w:val="000000"/>
          <w:kern w:val="0"/>
          <w:sz w:val="22"/>
          <w:szCs w:val="22"/>
          <w:lang w:eastAsia="en-GB"/>
          <w14:ligatures w14:val="none"/>
        </w:rPr>
        <w:lastRenderedPageBreak/>
        <w:t>References</w:t>
      </w:r>
    </w:p>
    <w:p w14:paraId="6AAA0B37"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1. Royal College of Radiologists, Scottish Imaging Network: A Platform for Scientific Excellence, </w:t>
      </w:r>
      <w:proofErr w:type="spellStart"/>
      <w:r w:rsidRPr="00192677">
        <w:rPr>
          <w:rFonts w:ascii="Arial" w:eastAsia="Times New Roman" w:hAnsi="Arial" w:cs="Arial"/>
          <w:color w:val="000000"/>
          <w:kern w:val="0"/>
          <w:sz w:val="22"/>
          <w:szCs w:val="22"/>
          <w:lang w:eastAsia="en-GB"/>
          <w14:ligatures w14:val="none"/>
        </w:rPr>
        <w:t>Wellcome</w:t>
      </w:r>
      <w:proofErr w:type="spellEnd"/>
      <w:r w:rsidRPr="00192677">
        <w:rPr>
          <w:rFonts w:ascii="Arial" w:eastAsia="Times New Roman" w:hAnsi="Arial" w:cs="Arial"/>
          <w:color w:val="000000"/>
          <w:kern w:val="0"/>
          <w:sz w:val="22"/>
          <w:szCs w:val="22"/>
          <w:lang w:eastAsia="en-GB"/>
          <w14:ligatures w14:val="none"/>
        </w:rPr>
        <w:t xml:space="preserve"> Trust. Management of Incidental Findings Detected During Research Imaging. London: RCR; 2011.</w:t>
      </w:r>
    </w:p>
    <w:p w14:paraId="187D2DAD"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2. Gibson LM, </w:t>
      </w:r>
      <w:proofErr w:type="spellStart"/>
      <w:r w:rsidRPr="00192677">
        <w:rPr>
          <w:rFonts w:ascii="Arial" w:eastAsia="Times New Roman" w:hAnsi="Arial" w:cs="Arial"/>
          <w:color w:val="000000"/>
          <w:kern w:val="0"/>
          <w:sz w:val="22"/>
          <w:szCs w:val="22"/>
          <w:lang w:eastAsia="en-GB"/>
          <w14:ligatures w14:val="none"/>
        </w:rPr>
        <w:t>Littlejohns</w:t>
      </w:r>
      <w:proofErr w:type="spellEnd"/>
      <w:r w:rsidRPr="00192677">
        <w:rPr>
          <w:rFonts w:ascii="Arial" w:eastAsia="Times New Roman" w:hAnsi="Arial" w:cs="Arial"/>
          <w:color w:val="000000"/>
          <w:kern w:val="0"/>
          <w:sz w:val="22"/>
          <w:szCs w:val="22"/>
          <w:lang w:eastAsia="en-GB"/>
          <w14:ligatures w14:val="none"/>
        </w:rPr>
        <w:t xml:space="preserve"> TJ, Adamska L, et al. Impact of detecting potentially serious incidental findings during multi-modal imaging. </w:t>
      </w:r>
      <w:proofErr w:type="spellStart"/>
      <w:r w:rsidRPr="00192677">
        <w:rPr>
          <w:rFonts w:ascii="Arial" w:eastAsia="Times New Roman" w:hAnsi="Arial" w:cs="Arial"/>
          <w:color w:val="000000"/>
          <w:kern w:val="0"/>
          <w:sz w:val="22"/>
          <w:szCs w:val="22"/>
          <w:lang w:eastAsia="en-GB"/>
          <w14:ligatures w14:val="none"/>
        </w:rPr>
        <w:t>Wellcome</w:t>
      </w:r>
      <w:proofErr w:type="spellEnd"/>
      <w:r w:rsidRPr="00192677">
        <w:rPr>
          <w:rFonts w:ascii="Arial" w:eastAsia="Times New Roman" w:hAnsi="Arial" w:cs="Arial"/>
          <w:color w:val="000000"/>
          <w:kern w:val="0"/>
          <w:sz w:val="22"/>
          <w:szCs w:val="22"/>
          <w:lang w:eastAsia="en-GB"/>
          <w14:ligatures w14:val="none"/>
        </w:rPr>
        <w:t xml:space="preserve"> Open Res. </w:t>
      </w:r>
      <w:proofErr w:type="gramStart"/>
      <w:r w:rsidRPr="00192677">
        <w:rPr>
          <w:rFonts w:ascii="Arial" w:eastAsia="Times New Roman" w:hAnsi="Arial" w:cs="Arial"/>
          <w:color w:val="000000"/>
          <w:kern w:val="0"/>
          <w:sz w:val="22"/>
          <w:szCs w:val="22"/>
          <w:lang w:eastAsia="en-GB"/>
          <w14:ligatures w14:val="none"/>
        </w:rPr>
        <w:t>2018;2:114</w:t>
      </w:r>
      <w:proofErr w:type="gramEnd"/>
      <w:r w:rsidRPr="00192677">
        <w:rPr>
          <w:rFonts w:ascii="Arial" w:eastAsia="Times New Roman" w:hAnsi="Arial" w:cs="Arial"/>
          <w:color w:val="000000"/>
          <w:kern w:val="0"/>
          <w:sz w:val="22"/>
          <w:szCs w:val="22"/>
          <w:lang w:eastAsia="en-GB"/>
          <w14:ligatures w14:val="none"/>
        </w:rPr>
        <w:t>.</w:t>
      </w:r>
    </w:p>
    <w:p w14:paraId="154E0085"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3. Bunnik EM, Vernooij MW. Incidental findings in population imaging revisited. </w:t>
      </w:r>
      <w:proofErr w:type="spellStart"/>
      <w:r w:rsidRPr="00192677">
        <w:rPr>
          <w:rFonts w:ascii="Arial" w:eastAsia="Times New Roman" w:hAnsi="Arial" w:cs="Arial"/>
          <w:color w:val="000000"/>
          <w:kern w:val="0"/>
          <w:sz w:val="22"/>
          <w:szCs w:val="22"/>
          <w:lang w:eastAsia="en-GB"/>
          <w14:ligatures w14:val="none"/>
        </w:rPr>
        <w:t>Eur</w:t>
      </w:r>
      <w:proofErr w:type="spellEnd"/>
      <w:r w:rsidRPr="00192677">
        <w:rPr>
          <w:rFonts w:ascii="Arial" w:eastAsia="Times New Roman" w:hAnsi="Arial" w:cs="Arial"/>
          <w:color w:val="000000"/>
          <w:kern w:val="0"/>
          <w:sz w:val="22"/>
          <w:szCs w:val="22"/>
          <w:lang w:eastAsia="en-GB"/>
          <w14:ligatures w14:val="none"/>
        </w:rPr>
        <w:t xml:space="preserve"> J </w:t>
      </w:r>
      <w:proofErr w:type="spellStart"/>
      <w:r w:rsidRPr="00192677">
        <w:rPr>
          <w:rFonts w:ascii="Arial" w:eastAsia="Times New Roman" w:hAnsi="Arial" w:cs="Arial"/>
          <w:color w:val="000000"/>
          <w:kern w:val="0"/>
          <w:sz w:val="22"/>
          <w:szCs w:val="22"/>
          <w:lang w:eastAsia="en-GB"/>
          <w14:ligatures w14:val="none"/>
        </w:rPr>
        <w:t>Epidemiol</w:t>
      </w:r>
      <w:proofErr w:type="spellEnd"/>
      <w:r w:rsidRPr="00192677">
        <w:rPr>
          <w:rFonts w:ascii="Arial" w:eastAsia="Times New Roman" w:hAnsi="Arial" w:cs="Arial"/>
          <w:color w:val="000000"/>
          <w:kern w:val="0"/>
          <w:sz w:val="22"/>
          <w:szCs w:val="22"/>
          <w:lang w:eastAsia="en-GB"/>
          <w14:ligatures w14:val="none"/>
        </w:rPr>
        <w:t>. 2016;31(1):1-4.</w:t>
      </w:r>
    </w:p>
    <w:p w14:paraId="6C76AA68"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4. Morris Z, Whiteley WN, Longstreth WT Jr, et al. Incidental findings on brain magnetic resonance imaging: systematic review and meta-analysis. BMJ. 2009;</w:t>
      </w:r>
      <w:proofErr w:type="gramStart"/>
      <w:r w:rsidRPr="00192677">
        <w:rPr>
          <w:rFonts w:ascii="Arial" w:eastAsia="Times New Roman" w:hAnsi="Arial" w:cs="Arial"/>
          <w:color w:val="000000"/>
          <w:kern w:val="0"/>
          <w:sz w:val="22"/>
          <w:szCs w:val="22"/>
          <w:lang w:eastAsia="en-GB"/>
          <w14:ligatures w14:val="none"/>
        </w:rPr>
        <w:t>339:b</w:t>
      </w:r>
      <w:proofErr w:type="gramEnd"/>
      <w:r w:rsidRPr="00192677">
        <w:rPr>
          <w:rFonts w:ascii="Arial" w:eastAsia="Times New Roman" w:hAnsi="Arial" w:cs="Arial"/>
          <w:color w:val="000000"/>
          <w:kern w:val="0"/>
          <w:sz w:val="22"/>
          <w:szCs w:val="22"/>
          <w:lang w:eastAsia="en-GB"/>
          <w14:ligatures w14:val="none"/>
        </w:rPr>
        <w:t>3016.</w:t>
      </w:r>
    </w:p>
    <w:p w14:paraId="1F744B8C"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 xml:space="preserve">5. Rowley PA, Paukner MJ, Eisenmenger LB, et al. Incidental findings from 16,400 brain MRI examinations of research volunteers. AJNR Am J </w:t>
      </w:r>
      <w:proofErr w:type="spellStart"/>
      <w:r w:rsidRPr="00192677">
        <w:rPr>
          <w:rFonts w:ascii="Arial" w:eastAsia="Times New Roman" w:hAnsi="Arial" w:cs="Arial"/>
          <w:color w:val="000000"/>
          <w:kern w:val="0"/>
          <w:sz w:val="22"/>
          <w:szCs w:val="22"/>
          <w:lang w:eastAsia="en-GB"/>
          <w14:ligatures w14:val="none"/>
        </w:rPr>
        <w:t>Neuroradiol</w:t>
      </w:r>
      <w:proofErr w:type="spellEnd"/>
      <w:r w:rsidRPr="00192677">
        <w:rPr>
          <w:rFonts w:ascii="Arial" w:eastAsia="Times New Roman" w:hAnsi="Arial" w:cs="Arial"/>
          <w:color w:val="000000"/>
          <w:kern w:val="0"/>
          <w:sz w:val="22"/>
          <w:szCs w:val="22"/>
          <w:lang w:eastAsia="en-GB"/>
          <w14:ligatures w14:val="none"/>
        </w:rPr>
        <w:t>. 2023;44(4). doi:10.3174/</w:t>
      </w:r>
      <w:proofErr w:type="gramStart"/>
      <w:r w:rsidRPr="00192677">
        <w:rPr>
          <w:rFonts w:ascii="Arial" w:eastAsia="Times New Roman" w:hAnsi="Arial" w:cs="Arial"/>
          <w:color w:val="000000"/>
          <w:kern w:val="0"/>
          <w:sz w:val="22"/>
          <w:szCs w:val="22"/>
          <w:lang w:eastAsia="en-GB"/>
          <w14:ligatures w14:val="none"/>
        </w:rPr>
        <w:t>ajnr.A</w:t>
      </w:r>
      <w:proofErr w:type="gramEnd"/>
      <w:r w:rsidRPr="00192677">
        <w:rPr>
          <w:rFonts w:ascii="Arial" w:eastAsia="Times New Roman" w:hAnsi="Arial" w:cs="Arial"/>
          <w:color w:val="000000"/>
          <w:kern w:val="0"/>
          <w:sz w:val="22"/>
          <w:szCs w:val="22"/>
          <w:lang w:eastAsia="en-GB"/>
          <w14:ligatures w14:val="none"/>
        </w:rPr>
        <w:t>7821.</w:t>
      </w:r>
    </w:p>
    <w:p w14:paraId="4B8305C3"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6. Wardlaw JM, Davies H, Booth TC, et al. Acting on incidental findings in research imaging. BMJ. 2015;351:h5190.</w:t>
      </w:r>
    </w:p>
    <w:p w14:paraId="7C80E3C0"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7. Health Research Authority. UK Research Ethics Committee (REC) Policy Document. Version 1.0. London: HRA; 28 April 2026.</w:t>
      </w:r>
    </w:p>
    <w:p w14:paraId="77AE3BC0"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8. Cramer SC, Wu J, Hanson JA, et al. A system for addressing incidental findings in neuroimaging research. Neuroimage. 2011;55(3):1020-1023.</w:t>
      </w:r>
    </w:p>
    <w:p w14:paraId="72373074"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9. UK National Screening Committee. Criteria for a population screening programme. London: Department of Health and Social Care; updated 29 September 2022.</w:t>
      </w:r>
    </w:p>
    <w:p w14:paraId="4A4ACE26"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10. Gibson LM, Paul L, Chappell FM, et al. Potentially serious incidental findings on brain and body magnetic resonance imaging of apparently asymptomatic adults: systematic review and meta-analysis. BMJ. 2018;</w:t>
      </w:r>
      <w:proofErr w:type="gramStart"/>
      <w:r w:rsidRPr="00192677">
        <w:rPr>
          <w:rFonts w:ascii="Arial" w:eastAsia="Times New Roman" w:hAnsi="Arial" w:cs="Arial"/>
          <w:color w:val="000000"/>
          <w:kern w:val="0"/>
          <w:sz w:val="22"/>
          <w:szCs w:val="22"/>
          <w:lang w:eastAsia="en-GB"/>
          <w14:ligatures w14:val="none"/>
        </w:rPr>
        <w:t>363:k</w:t>
      </w:r>
      <w:proofErr w:type="gramEnd"/>
      <w:r w:rsidRPr="00192677">
        <w:rPr>
          <w:rFonts w:ascii="Arial" w:eastAsia="Times New Roman" w:hAnsi="Arial" w:cs="Arial"/>
          <w:color w:val="000000"/>
          <w:kern w:val="0"/>
          <w:sz w:val="22"/>
          <w:szCs w:val="22"/>
          <w:lang w:eastAsia="en-GB"/>
          <w14:ligatures w14:val="none"/>
        </w:rPr>
        <w:t>4577.</w:t>
      </w:r>
    </w:p>
    <w:p w14:paraId="32D352F5" w14:textId="77777777" w:rsidR="003C13F3" w:rsidRPr="00192677"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11. Hoggard N, Darwent G, Capener D, Wilkinson ID, Griffiths PD. The high incidence and bioethics of findings on magnetic resonance brain imaging of normal volunteers for neuroscience research. J Med Ethics. 2009;35(3):194-199.</w:t>
      </w:r>
    </w:p>
    <w:p w14:paraId="0AA7C434" w14:textId="58F9431A" w:rsidR="003C13F3" w:rsidRPr="00DD74B9" w:rsidRDefault="003C13F3" w:rsidP="00DD74B9">
      <w:pPr>
        <w:spacing w:after="120" w:line="360" w:lineRule="auto"/>
        <w:rPr>
          <w:rFonts w:ascii="Arial" w:eastAsia="Times New Roman" w:hAnsi="Arial" w:cs="Arial"/>
          <w:color w:val="000000"/>
          <w:kern w:val="0"/>
          <w:sz w:val="22"/>
          <w:szCs w:val="22"/>
          <w:lang w:eastAsia="en-GB"/>
          <w14:ligatures w14:val="none"/>
        </w:rPr>
      </w:pPr>
      <w:r w:rsidRPr="00192677">
        <w:rPr>
          <w:rFonts w:ascii="Arial" w:eastAsia="Times New Roman" w:hAnsi="Arial" w:cs="Arial"/>
          <w:color w:val="000000"/>
          <w:kern w:val="0"/>
          <w:sz w:val="22"/>
          <w:szCs w:val="22"/>
          <w:lang w:eastAsia="en-GB"/>
          <w14:ligatures w14:val="none"/>
        </w:rPr>
        <w:t>12. Health Research Authority. UK study-wide governance criteria. London: HRA; 2026</w:t>
      </w:r>
      <w:r w:rsidR="007A6112" w:rsidRPr="00192677">
        <w:rPr>
          <w:rFonts w:ascii="Arial" w:eastAsia="Times New Roman" w:hAnsi="Arial" w:cs="Arial"/>
          <w:color w:val="000000"/>
          <w:kern w:val="0"/>
          <w:sz w:val="22"/>
          <w:szCs w:val="22"/>
          <w:lang w:eastAsia="en-GB"/>
          <w14:ligatures w14:val="none"/>
        </w:rPr>
        <w:t>.</w:t>
      </w:r>
    </w:p>
    <w:sectPr w:rsidR="003C13F3" w:rsidRPr="00DD74B9" w:rsidSect="003C13F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3"/>
    <w:rsid w:val="00192677"/>
    <w:rsid w:val="003C13F3"/>
    <w:rsid w:val="005A3FA0"/>
    <w:rsid w:val="0064331A"/>
    <w:rsid w:val="00722A17"/>
    <w:rsid w:val="007A6112"/>
    <w:rsid w:val="00D17052"/>
    <w:rsid w:val="00D72449"/>
    <w:rsid w:val="00DD7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9371D7"/>
  <w15:chartTrackingRefBased/>
  <w15:docId w15:val="{F3F5B0ED-FF04-2646-8139-3B7E3CF9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3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3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3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3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3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3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3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3F3"/>
    <w:rPr>
      <w:rFonts w:eastAsiaTheme="majorEastAsia" w:cstheme="majorBidi"/>
      <w:color w:val="272727" w:themeColor="text1" w:themeTint="D8"/>
    </w:rPr>
  </w:style>
  <w:style w:type="paragraph" w:styleId="Title">
    <w:name w:val="Title"/>
    <w:basedOn w:val="Normal"/>
    <w:next w:val="Normal"/>
    <w:link w:val="TitleChar"/>
    <w:uiPriority w:val="10"/>
    <w:qFormat/>
    <w:rsid w:val="003C1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3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3F3"/>
    <w:pPr>
      <w:spacing w:before="160"/>
      <w:jc w:val="center"/>
    </w:pPr>
    <w:rPr>
      <w:i/>
      <w:iCs/>
      <w:color w:val="404040" w:themeColor="text1" w:themeTint="BF"/>
    </w:rPr>
  </w:style>
  <w:style w:type="character" w:customStyle="1" w:styleId="QuoteChar">
    <w:name w:val="Quote Char"/>
    <w:basedOn w:val="DefaultParagraphFont"/>
    <w:link w:val="Quote"/>
    <w:uiPriority w:val="29"/>
    <w:rsid w:val="003C13F3"/>
    <w:rPr>
      <w:i/>
      <w:iCs/>
      <w:color w:val="404040" w:themeColor="text1" w:themeTint="BF"/>
    </w:rPr>
  </w:style>
  <w:style w:type="paragraph" w:styleId="ListParagraph">
    <w:name w:val="List Paragraph"/>
    <w:basedOn w:val="Normal"/>
    <w:uiPriority w:val="34"/>
    <w:qFormat/>
    <w:rsid w:val="003C13F3"/>
    <w:pPr>
      <w:ind w:left="720"/>
      <w:contextualSpacing/>
    </w:pPr>
  </w:style>
  <w:style w:type="character" w:styleId="IntenseEmphasis">
    <w:name w:val="Intense Emphasis"/>
    <w:basedOn w:val="DefaultParagraphFont"/>
    <w:uiPriority w:val="21"/>
    <w:qFormat/>
    <w:rsid w:val="003C13F3"/>
    <w:rPr>
      <w:i/>
      <w:iCs/>
      <w:color w:val="0F4761" w:themeColor="accent1" w:themeShade="BF"/>
    </w:rPr>
  </w:style>
  <w:style w:type="paragraph" w:styleId="IntenseQuote">
    <w:name w:val="Intense Quote"/>
    <w:basedOn w:val="Normal"/>
    <w:next w:val="Normal"/>
    <w:link w:val="IntenseQuoteChar"/>
    <w:uiPriority w:val="30"/>
    <w:qFormat/>
    <w:rsid w:val="003C1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3F3"/>
    <w:rPr>
      <w:i/>
      <w:iCs/>
      <w:color w:val="0F4761" w:themeColor="accent1" w:themeShade="BF"/>
    </w:rPr>
  </w:style>
  <w:style w:type="character" w:styleId="IntenseReference">
    <w:name w:val="Intense Reference"/>
    <w:basedOn w:val="DefaultParagraphFont"/>
    <w:uiPriority w:val="32"/>
    <w:qFormat/>
    <w:rsid w:val="003C13F3"/>
    <w:rPr>
      <w:b/>
      <w:bCs/>
      <w:smallCaps/>
      <w:color w:val="0F4761" w:themeColor="accent1" w:themeShade="BF"/>
      <w:spacing w:val="5"/>
    </w:rPr>
  </w:style>
  <w:style w:type="paragraph" w:styleId="NormalWeb">
    <w:name w:val="Normal (Web)"/>
    <w:basedOn w:val="Normal"/>
    <w:uiPriority w:val="99"/>
    <w:semiHidden/>
    <w:unhideWhenUsed/>
    <w:rsid w:val="003C13F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chous365.319</dc:creator>
  <cp:keywords/>
  <dc:description/>
  <cp:lastModifiedBy>chous365.319</cp:lastModifiedBy>
  <cp:revision>6</cp:revision>
  <dcterms:created xsi:type="dcterms:W3CDTF">2026-08-03T23:57:00Z</dcterms:created>
  <dcterms:modified xsi:type="dcterms:W3CDTF">2026-08-05T15:07:00Z</dcterms:modified>
</cp:coreProperties>
</file>